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2"/>
        <w:gridCol w:w="473"/>
        <w:gridCol w:w="12463"/>
        <w:gridCol w:w="968"/>
        <w:gridCol w:w="10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3858" w:type="dxa"/>
            <w:gridSpan w:val="3"/>
          </w:tcPr>
          <w:p>
            <w:pPr>
              <w:pStyle w:val="7"/>
              <w:spacing w:line="246" w:lineRule="exact"/>
              <w:ind w:right="5681"/>
              <w:jc w:val="center"/>
              <w:rPr>
                <w:rFonts w:hint="default" w:ascii="微软雅黑" w:eastAsia="微软雅黑"/>
                <w:b/>
                <w:sz w:val="24"/>
                <w:lang w:val="en-US" w:eastAsia="zh-CN"/>
              </w:rPr>
            </w:pPr>
            <w:r>
              <w:rPr>
                <w:rFonts w:hint="eastAsia" w:ascii="微软雅黑" w:eastAsia="微软雅黑"/>
                <w:b/>
                <w:sz w:val="24"/>
                <w:lang w:val="en-US" w:eastAsia="zh-CN"/>
              </w:rPr>
              <w:t xml:space="preserve">                                          </w:t>
            </w:r>
            <w:bookmarkStart w:id="0" w:name="_GoBack"/>
            <w:bookmarkEnd w:id="0"/>
            <w:r>
              <w:rPr>
                <w:rFonts w:hint="eastAsia" w:ascii="微软雅黑" w:eastAsia="微软雅黑"/>
                <w:b/>
                <w:sz w:val="24"/>
              </w:rPr>
              <w:t>综合素质测评指标</w:t>
            </w:r>
            <w:r>
              <w:rPr>
                <w:rFonts w:hint="eastAsia" w:ascii="微软雅黑" w:eastAsia="微软雅黑"/>
                <w:b/>
                <w:color w:val="FF0000"/>
                <w:sz w:val="24"/>
                <w:lang w:val="en-US" w:eastAsia="zh-CN"/>
              </w:rPr>
              <w:t xml:space="preserve"> </w:t>
            </w:r>
            <w:r>
              <w:rPr>
                <w:rFonts w:hint="eastAsia" w:ascii="微软雅黑" w:eastAsia="微软雅黑"/>
                <w:b/>
                <w:color w:val="FF0000"/>
                <w:sz w:val="24"/>
                <w:lang w:eastAsia="zh-CN"/>
              </w:rPr>
              <w:t>（</w:t>
            </w:r>
            <w:r>
              <w:rPr>
                <w:rFonts w:hint="eastAsia" w:ascii="微软雅黑" w:eastAsia="微软雅黑"/>
                <w:b/>
                <w:color w:val="FF0000"/>
                <w:sz w:val="24"/>
                <w:lang w:val="en-US" w:eastAsia="zh-CN"/>
              </w:rPr>
              <w:t>红色字体内容为修改部分</w:t>
            </w:r>
            <w:r>
              <w:rPr>
                <w:rFonts w:hint="eastAsia" w:ascii="微软雅黑" w:eastAsia="微软雅黑"/>
                <w:b/>
                <w:color w:val="FF0000"/>
                <w:sz w:val="24"/>
                <w:lang w:eastAsia="zh-CN"/>
              </w:rPr>
              <w:t>）</w:t>
            </w:r>
            <w:r>
              <w:rPr>
                <w:rFonts w:hint="eastAsia" w:ascii="微软雅黑" w:eastAsia="微软雅黑"/>
                <w:b/>
                <w:color w:val="FF0000"/>
                <w:sz w:val="24"/>
                <w:lang w:val="en-US" w:eastAsia="zh-CN"/>
              </w:rPr>
              <w:t xml:space="preserve">                                                                 </w:t>
            </w:r>
          </w:p>
        </w:tc>
        <w:tc>
          <w:tcPr>
            <w:tcW w:w="968" w:type="dxa"/>
          </w:tcPr>
          <w:p>
            <w:pPr>
              <w:pStyle w:val="7"/>
              <w:spacing w:line="246" w:lineRule="exact"/>
              <w:ind w:left="248"/>
              <w:rPr>
                <w:rFonts w:hint="eastAsia" w:ascii="微软雅黑" w:eastAsia="微软雅黑"/>
                <w:b/>
                <w:sz w:val="24"/>
              </w:rPr>
            </w:pPr>
            <w:r>
              <w:rPr>
                <w:rFonts w:hint="eastAsia" w:ascii="微软雅黑" w:eastAsia="微软雅黑"/>
                <w:b/>
                <w:sz w:val="24"/>
              </w:rPr>
              <w:t>自评</w:t>
            </w:r>
          </w:p>
        </w:tc>
        <w:tc>
          <w:tcPr>
            <w:tcW w:w="1036" w:type="dxa"/>
          </w:tcPr>
          <w:p>
            <w:pPr>
              <w:pStyle w:val="7"/>
              <w:spacing w:line="246" w:lineRule="exact"/>
              <w:ind w:left="281"/>
              <w:rPr>
                <w:rFonts w:hint="eastAsia" w:ascii="微软雅黑" w:eastAsia="微软雅黑"/>
                <w:b/>
                <w:sz w:val="24"/>
              </w:rPr>
            </w:pPr>
            <w:r>
              <w:rPr>
                <w:rFonts w:hint="eastAsia" w:ascii="微软雅黑" w:eastAsia="微软雅黑"/>
                <w:b/>
                <w:sz w:val="24"/>
              </w:rPr>
              <w:t>班评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trPr>
        <w:tc>
          <w:tcPr>
            <w:tcW w:w="922" w:type="dxa"/>
            <w:vMerge w:val="restart"/>
          </w:tcPr>
          <w:p>
            <w:pPr>
              <w:pStyle w:val="7"/>
              <w:rPr>
                <w:rFonts w:ascii="Times New Roman"/>
                <w:sz w:val="22"/>
              </w:rPr>
            </w:pPr>
          </w:p>
          <w:p>
            <w:pPr>
              <w:pStyle w:val="7"/>
              <w:rPr>
                <w:rFonts w:ascii="Times New Roman"/>
                <w:sz w:val="22"/>
              </w:rPr>
            </w:pPr>
          </w:p>
          <w:p>
            <w:pPr>
              <w:pStyle w:val="7"/>
              <w:spacing w:before="165"/>
              <w:ind w:left="122"/>
              <w:rPr>
                <w:rFonts w:hint="eastAsia" w:ascii="微软雅黑" w:eastAsia="微软雅黑"/>
                <w:b/>
                <w:sz w:val="22"/>
              </w:rPr>
            </w:pPr>
            <w:r>
              <w:rPr>
                <w:rFonts w:hint="eastAsia" w:ascii="微软雅黑" w:eastAsia="微软雅黑"/>
                <w:b/>
                <w:sz w:val="22"/>
              </w:rPr>
              <w:t>学习分</w:t>
            </w:r>
          </w:p>
        </w:tc>
        <w:tc>
          <w:tcPr>
            <w:tcW w:w="473" w:type="dxa"/>
          </w:tcPr>
          <w:p>
            <w:pPr>
              <w:pStyle w:val="7"/>
              <w:spacing w:before="2"/>
              <w:rPr>
                <w:rFonts w:ascii="Times New Roman"/>
                <w:sz w:val="19"/>
              </w:rPr>
            </w:pPr>
          </w:p>
          <w:p>
            <w:pPr>
              <w:pStyle w:val="7"/>
              <w:ind w:left="187"/>
              <w:rPr>
                <w:sz w:val="18"/>
              </w:rPr>
            </w:pPr>
            <w:r>
              <w:rPr>
                <w:sz w:val="18"/>
              </w:rPr>
              <w:t>1</w:t>
            </w:r>
          </w:p>
        </w:tc>
        <w:tc>
          <w:tcPr>
            <w:tcW w:w="12463" w:type="dxa"/>
          </w:tcPr>
          <w:p>
            <w:pPr>
              <w:pStyle w:val="7"/>
              <w:spacing w:line="222" w:lineRule="exact"/>
              <w:ind w:left="33"/>
              <w:rPr>
                <w:sz w:val="18"/>
              </w:rPr>
            </w:pPr>
            <w:r>
              <w:rPr>
                <w:sz w:val="18"/>
              </w:rPr>
              <w:t>学习水平按成绩效率进行计算。</w:t>
            </w:r>
          </w:p>
          <w:p>
            <w:pPr>
              <w:pStyle w:val="7"/>
              <w:spacing w:line="222" w:lineRule="exact"/>
              <w:ind w:left="33"/>
              <w:rPr>
                <w:sz w:val="18"/>
              </w:rPr>
            </w:pPr>
            <w:r>
              <w:rPr>
                <w:sz w:val="18"/>
              </w:rPr>
              <w:t>备注：①成绩效率=（Σ考试分数×学分）/所修课程总学分②考查课程按等级对应相应分数计算平均成绩 优=90，良=80，中=70，及格=60，不及格=50分）③专升本学生、转专业学生补修的课程不计入学习水平考核。④学生重新学习课程、免考课程、素质选修课不计入学习水平评分。</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5" w:hRule="atLeast"/>
        </w:trPr>
        <w:tc>
          <w:tcPr>
            <w:tcW w:w="922" w:type="dxa"/>
            <w:vMerge w:val="continue"/>
            <w:tcBorders>
              <w:top w:val="nil"/>
            </w:tcBorders>
          </w:tcPr>
          <w:p>
            <w:pPr>
              <w:rPr>
                <w:sz w:val="2"/>
                <w:szCs w:val="2"/>
              </w:rPr>
            </w:pPr>
          </w:p>
        </w:tc>
        <w:tc>
          <w:tcPr>
            <w:tcW w:w="473" w:type="dxa"/>
          </w:tcPr>
          <w:p>
            <w:pPr>
              <w:pStyle w:val="7"/>
              <w:spacing w:before="31" w:line="215" w:lineRule="exact"/>
              <w:ind w:left="187"/>
              <w:rPr>
                <w:sz w:val="18"/>
              </w:rPr>
            </w:pPr>
            <w:r>
              <w:rPr>
                <w:sz w:val="18"/>
              </w:rPr>
              <w:t>2</w:t>
            </w:r>
          </w:p>
        </w:tc>
        <w:tc>
          <w:tcPr>
            <w:tcW w:w="12463" w:type="dxa"/>
          </w:tcPr>
          <w:p>
            <w:pPr>
              <w:pStyle w:val="7"/>
              <w:spacing w:before="31" w:line="215" w:lineRule="exact"/>
              <w:ind w:left="33"/>
              <w:rPr>
                <w:sz w:val="18"/>
              </w:rPr>
            </w:pPr>
            <w:r>
              <w:rPr>
                <w:sz w:val="18"/>
              </w:rPr>
              <w:t>课程不及格扣1分/科，正考缺考（缓考除外）扣3分/科，补考仍不及格或缺考再扣0.5分（不含素质选修课）。</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6" w:hRule="atLeast"/>
        </w:trPr>
        <w:tc>
          <w:tcPr>
            <w:tcW w:w="922" w:type="dxa"/>
            <w:vMerge w:val="continue"/>
            <w:tcBorders>
              <w:top w:val="nil"/>
            </w:tcBorders>
          </w:tcPr>
          <w:p>
            <w:pPr>
              <w:rPr>
                <w:sz w:val="2"/>
                <w:szCs w:val="2"/>
              </w:rPr>
            </w:pPr>
          </w:p>
        </w:tc>
        <w:tc>
          <w:tcPr>
            <w:tcW w:w="473" w:type="dxa"/>
          </w:tcPr>
          <w:p>
            <w:pPr>
              <w:pStyle w:val="7"/>
              <w:spacing w:before="6"/>
              <w:rPr>
                <w:rFonts w:ascii="Times New Roman"/>
                <w:sz w:val="14"/>
              </w:rPr>
            </w:pPr>
          </w:p>
          <w:p>
            <w:pPr>
              <w:pStyle w:val="7"/>
              <w:ind w:left="187"/>
              <w:rPr>
                <w:sz w:val="18"/>
              </w:rPr>
            </w:pPr>
            <w:r>
              <w:rPr>
                <w:sz w:val="18"/>
              </w:rPr>
              <w:t>3</w:t>
            </w:r>
          </w:p>
        </w:tc>
        <w:tc>
          <w:tcPr>
            <w:tcW w:w="12463" w:type="dxa"/>
          </w:tcPr>
          <w:p>
            <w:pPr>
              <w:pStyle w:val="7"/>
              <w:spacing w:before="60" w:line="232" w:lineRule="auto"/>
              <w:ind w:left="33" w:right="70"/>
              <w:rPr>
                <w:sz w:val="18"/>
              </w:rPr>
            </w:pPr>
            <w:r>
              <w:rPr>
                <w:sz w:val="18"/>
              </w:rPr>
              <w:t>学习成绩效率排名在本专业前3%者加1分，排名情况由本专业统计，辅导员审核；凡参加本年度学校开设的素质选修课成绩合格者加0.5分/门，参加未合格者扣0.5分/门。</w:t>
            </w:r>
            <w:r>
              <w:rPr>
                <w:color w:val="FF0000"/>
                <w:sz w:val="18"/>
              </w:rPr>
              <w:t>SYB创业培训已列入学校素质选修课，凭</w:t>
            </w:r>
            <w:r>
              <w:rPr>
                <w:rFonts w:hint="eastAsia"/>
                <w:color w:val="FF0000"/>
                <w:sz w:val="18"/>
                <w:lang w:val="en-US" w:eastAsia="zh-CN"/>
              </w:rPr>
              <w:t>培训</w:t>
            </w:r>
            <w:r>
              <w:rPr>
                <w:color w:val="FF0000"/>
                <w:sz w:val="18"/>
              </w:rPr>
              <w:t>年度所取得结业证加</w:t>
            </w:r>
            <w:r>
              <w:rPr>
                <w:rFonts w:hint="eastAsia"/>
                <w:color w:val="FF0000"/>
                <w:sz w:val="18"/>
                <w:lang w:val="en-US" w:eastAsia="zh-CN"/>
              </w:rPr>
              <w:t>2</w:t>
            </w:r>
            <w:r>
              <w:rPr>
                <w:color w:val="FF0000"/>
                <w:sz w:val="18"/>
              </w:rPr>
              <w:t>分</w:t>
            </w:r>
            <w:r>
              <w:rPr>
                <w:sz w:val="18"/>
              </w:rPr>
              <w:t>，</w:t>
            </w:r>
            <w:r>
              <w:rPr>
                <w:rFonts w:hint="eastAsia"/>
                <w:sz w:val="18"/>
                <w:lang w:val="en-US" w:eastAsia="zh-CN"/>
              </w:rPr>
              <w:t>培训获得的</w:t>
            </w:r>
            <w:r>
              <w:rPr>
                <w:sz w:val="18"/>
              </w:rPr>
              <w:t>优秀学员、优秀团队等不加分。</w:t>
            </w:r>
            <w:r>
              <w:rPr>
                <w:color w:val="FF0000"/>
                <w:sz w:val="18"/>
              </w:rPr>
              <w:t>第3项加分累计不超过</w:t>
            </w:r>
            <w:r>
              <w:rPr>
                <w:rFonts w:hint="eastAsia"/>
                <w:color w:val="FF0000"/>
                <w:sz w:val="18"/>
                <w:lang w:val="en-US" w:eastAsia="zh-CN"/>
              </w:rPr>
              <w:t>4</w:t>
            </w:r>
            <w:r>
              <w:rPr>
                <w:color w:val="FF0000"/>
                <w:sz w:val="18"/>
              </w:rPr>
              <w:t>分</w:t>
            </w:r>
            <w:r>
              <w:rPr>
                <w:sz w:val="18"/>
              </w:rPr>
              <w:t>。</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922" w:type="dxa"/>
            <w:vMerge w:val="continue"/>
            <w:tcBorders>
              <w:top w:val="nil"/>
            </w:tcBorders>
          </w:tcPr>
          <w:p>
            <w:pPr>
              <w:rPr>
                <w:sz w:val="2"/>
                <w:szCs w:val="2"/>
              </w:rPr>
            </w:pPr>
          </w:p>
        </w:tc>
        <w:tc>
          <w:tcPr>
            <w:tcW w:w="473" w:type="dxa"/>
          </w:tcPr>
          <w:p>
            <w:pPr>
              <w:pStyle w:val="7"/>
              <w:spacing w:before="23" w:line="208" w:lineRule="exact"/>
              <w:ind w:left="187"/>
              <w:rPr>
                <w:sz w:val="18"/>
              </w:rPr>
            </w:pPr>
            <w:r>
              <w:rPr>
                <w:sz w:val="18"/>
              </w:rPr>
              <w:t>4</w:t>
            </w:r>
          </w:p>
        </w:tc>
        <w:tc>
          <w:tcPr>
            <w:tcW w:w="12463" w:type="dxa"/>
          </w:tcPr>
          <w:p>
            <w:pPr>
              <w:pStyle w:val="7"/>
              <w:spacing w:before="23" w:line="208" w:lineRule="exact"/>
              <w:ind w:left="33"/>
              <w:rPr>
                <w:sz w:val="18"/>
              </w:rPr>
            </w:pPr>
            <w:r>
              <w:rPr>
                <w:sz w:val="18"/>
              </w:rPr>
              <w:t>申请参加双学位学习并完成一学年学习的加2分。</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2" w:hRule="atLeast"/>
        </w:trPr>
        <w:tc>
          <w:tcPr>
            <w:tcW w:w="922" w:type="dxa"/>
            <w:vMerge w:val="restart"/>
          </w:tcPr>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rPr>
                <w:rFonts w:ascii="Times New Roman"/>
                <w:sz w:val="24"/>
              </w:rPr>
            </w:pPr>
          </w:p>
          <w:p>
            <w:pPr>
              <w:pStyle w:val="7"/>
              <w:spacing w:before="3"/>
              <w:rPr>
                <w:rFonts w:ascii="Times New Roman"/>
                <w:sz w:val="21"/>
              </w:rPr>
            </w:pPr>
          </w:p>
          <w:p>
            <w:pPr>
              <w:pStyle w:val="7"/>
              <w:spacing w:line="158" w:lineRule="auto"/>
              <w:ind w:left="95" w:right="78"/>
              <w:jc w:val="center"/>
              <w:rPr>
                <w:rFonts w:hint="eastAsia" w:ascii="微软雅黑" w:eastAsia="微软雅黑"/>
                <w:b/>
                <w:sz w:val="24"/>
              </w:rPr>
            </w:pPr>
            <w:r>
              <w:rPr>
                <w:rFonts w:hint="eastAsia" w:ascii="微软雅黑" w:eastAsia="微软雅黑"/>
                <w:b/>
                <w:sz w:val="24"/>
              </w:rPr>
              <w:t>思想道德素质</w:t>
            </w:r>
          </w:p>
          <w:p>
            <w:pPr>
              <w:pStyle w:val="7"/>
              <w:spacing w:line="158" w:lineRule="auto"/>
              <w:ind w:left="93" w:right="78" w:firstLine="2"/>
              <w:jc w:val="center"/>
              <w:rPr>
                <w:rFonts w:hint="eastAsia" w:ascii="微软雅黑" w:eastAsia="微软雅黑"/>
                <w:b/>
                <w:sz w:val="24"/>
              </w:rPr>
            </w:pPr>
            <w:r>
              <w:rPr>
                <w:rFonts w:hint="eastAsia" w:ascii="微软雅黑" w:eastAsia="微软雅黑"/>
                <w:b/>
                <w:sz w:val="24"/>
              </w:rPr>
              <w:t xml:space="preserve">（含心理 素 质 ） </w:t>
            </w:r>
            <w:r>
              <w:rPr>
                <w:rFonts w:hint="eastAsia" w:ascii="微软雅黑" w:eastAsia="微软雅黑"/>
                <w:b/>
                <w:w w:val="90"/>
                <w:sz w:val="24"/>
              </w:rPr>
              <w:t>最高</w:t>
            </w:r>
            <w:r>
              <w:rPr>
                <w:rFonts w:hint="eastAsia" w:ascii="微软雅黑" w:eastAsia="微软雅黑"/>
                <w:b/>
                <w:w w:val="90"/>
                <w:sz w:val="24"/>
                <w:lang w:val="en-US" w:eastAsia="zh-CN"/>
              </w:rPr>
              <w:t>20</w:t>
            </w:r>
            <w:r>
              <w:rPr>
                <w:rFonts w:hint="eastAsia" w:ascii="微软雅黑" w:eastAsia="微软雅黑"/>
                <w:b/>
                <w:w w:val="90"/>
                <w:sz w:val="24"/>
              </w:rPr>
              <w:t xml:space="preserve"> </w:t>
            </w:r>
            <w:r>
              <w:rPr>
                <w:rFonts w:hint="eastAsia" w:ascii="微软雅黑" w:eastAsia="微软雅黑"/>
                <w:b/>
                <w:sz w:val="24"/>
              </w:rPr>
              <w:t>分</w:t>
            </w:r>
          </w:p>
        </w:tc>
        <w:tc>
          <w:tcPr>
            <w:tcW w:w="473" w:type="dxa"/>
          </w:tcPr>
          <w:p>
            <w:pPr>
              <w:pStyle w:val="7"/>
              <w:spacing w:before="160"/>
              <w:ind w:left="187"/>
              <w:rPr>
                <w:sz w:val="18"/>
              </w:rPr>
            </w:pPr>
            <w:r>
              <w:rPr>
                <w:sz w:val="18"/>
              </w:rPr>
              <w:t>5</w:t>
            </w:r>
          </w:p>
        </w:tc>
        <w:tc>
          <w:tcPr>
            <w:tcW w:w="12463" w:type="dxa"/>
          </w:tcPr>
          <w:p>
            <w:pPr>
              <w:pStyle w:val="7"/>
              <w:spacing w:before="53" w:line="232" w:lineRule="auto"/>
              <w:ind w:left="33" w:right="165"/>
              <w:rPr>
                <w:sz w:val="18"/>
              </w:rPr>
            </w:pPr>
            <w:r>
              <w:rPr>
                <w:sz w:val="18"/>
              </w:rPr>
              <w:t>本学年度参加学校党课学习并取得结业证加1分；参加校党校未获结业证扣3分；参加校团委举办的团校（学生干部培训班、学生科技培训班）学习并取得结业证书加0.5分，参加团校未获得结业证书的，扣1.5分，</w:t>
            </w:r>
            <w:r>
              <w:rPr>
                <w:rFonts w:hint="eastAsia"/>
                <w:sz w:val="18"/>
                <w:lang w:val="en-US" w:eastAsia="zh-CN"/>
              </w:rPr>
              <w:t>获得的</w:t>
            </w:r>
            <w:r>
              <w:rPr>
                <w:sz w:val="18"/>
              </w:rPr>
              <w:t>优秀学员不再加分。</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922" w:type="dxa"/>
            <w:vMerge w:val="continue"/>
            <w:tcBorders>
              <w:top w:val="nil"/>
            </w:tcBorders>
          </w:tcPr>
          <w:p>
            <w:pPr>
              <w:rPr>
                <w:sz w:val="2"/>
                <w:szCs w:val="2"/>
              </w:rPr>
            </w:pPr>
          </w:p>
        </w:tc>
        <w:tc>
          <w:tcPr>
            <w:tcW w:w="473" w:type="dxa"/>
          </w:tcPr>
          <w:p>
            <w:pPr>
              <w:pStyle w:val="7"/>
              <w:spacing w:before="9"/>
              <w:rPr>
                <w:rFonts w:ascii="Times New Roman"/>
                <w:sz w:val="19"/>
              </w:rPr>
            </w:pPr>
          </w:p>
          <w:p>
            <w:pPr>
              <w:pStyle w:val="7"/>
              <w:ind w:left="187"/>
              <w:rPr>
                <w:sz w:val="18"/>
              </w:rPr>
            </w:pPr>
            <w:r>
              <w:rPr>
                <w:sz w:val="18"/>
              </w:rPr>
              <w:t>6</w:t>
            </w:r>
          </w:p>
        </w:tc>
        <w:tc>
          <w:tcPr>
            <w:tcW w:w="12463" w:type="dxa"/>
          </w:tcPr>
          <w:p>
            <w:pPr>
              <w:pStyle w:val="7"/>
              <w:spacing w:line="235" w:lineRule="auto"/>
              <w:ind w:right="63"/>
              <w:rPr>
                <w:sz w:val="18"/>
              </w:rPr>
            </w:pPr>
            <w:r>
              <w:rPr>
                <w:rFonts w:hint="eastAsia"/>
                <w:sz w:val="18"/>
              </w:rPr>
              <w:t>本学年度参加政治学习、党团组织生活、班会、公益劳动及各项学校、学院、班级所要求参加的会议</w:t>
            </w:r>
            <w:r>
              <w:rPr>
                <w:rFonts w:hint="eastAsia"/>
                <w:sz w:val="18"/>
                <w:lang w:eastAsia="zh-CN"/>
              </w:rPr>
              <w:t>、</w:t>
            </w:r>
            <w:r>
              <w:rPr>
                <w:rFonts w:hint="eastAsia"/>
                <w:sz w:val="18"/>
                <w:lang w:val="en-US" w:eastAsia="zh-CN"/>
              </w:rPr>
              <w:t>讲座</w:t>
            </w:r>
            <w:r>
              <w:rPr>
                <w:rFonts w:hint="eastAsia"/>
                <w:sz w:val="18"/>
              </w:rPr>
              <w:t>和</w:t>
            </w:r>
            <w:r>
              <w:rPr>
                <w:rFonts w:hint="eastAsia"/>
                <w:sz w:val="18"/>
                <w:lang w:val="en-US" w:eastAsia="zh-CN"/>
              </w:rPr>
              <w:t>社团</w:t>
            </w:r>
            <w:r>
              <w:rPr>
                <w:rFonts w:hint="eastAsia"/>
                <w:sz w:val="18"/>
              </w:rPr>
              <w:t>活动，无故迟到、早退扣0.2分/次，缺席扣0.3分/次，完整参加一次活动加0.2分，加分累计不超过3分。</w:t>
            </w:r>
            <w:r>
              <w:rPr>
                <w:rFonts w:hint="eastAsia"/>
                <w:color w:val="FF0000"/>
                <w:sz w:val="18"/>
              </w:rPr>
              <w:t>团组织生活</w:t>
            </w:r>
            <w:r>
              <w:rPr>
                <w:rFonts w:hint="eastAsia"/>
                <w:color w:val="FF0000"/>
                <w:sz w:val="18"/>
                <w:lang w:eastAsia="zh-CN"/>
              </w:rPr>
              <w:t>、</w:t>
            </w:r>
            <w:r>
              <w:rPr>
                <w:rFonts w:hint="eastAsia"/>
                <w:color w:val="FF0000"/>
                <w:sz w:val="18"/>
                <w:lang w:val="en-US" w:eastAsia="zh-CN"/>
              </w:rPr>
              <w:t>青年大学习、各类党团建设工作等</w:t>
            </w:r>
            <w:r>
              <w:rPr>
                <w:rFonts w:hint="eastAsia"/>
                <w:color w:val="FF0000"/>
                <w:sz w:val="18"/>
              </w:rPr>
              <w:t>在</w:t>
            </w:r>
            <w:r>
              <w:rPr>
                <w:rFonts w:hint="eastAsia"/>
                <w:color w:val="FF0000"/>
                <w:sz w:val="18"/>
                <w:lang w:val="en-US" w:eastAsia="zh-CN"/>
              </w:rPr>
              <w:t>本</w:t>
            </w:r>
            <w:r>
              <w:rPr>
                <w:rFonts w:hint="eastAsia"/>
                <w:color w:val="FF0000"/>
                <w:sz w:val="18"/>
              </w:rPr>
              <w:t>年</w:t>
            </w:r>
            <w:r>
              <w:rPr>
                <w:rFonts w:hint="eastAsia"/>
                <w:color w:val="FF0000"/>
                <w:sz w:val="18"/>
                <w:lang w:val="en-US" w:eastAsia="zh-CN"/>
              </w:rPr>
              <w:t>度同</w:t>
            </w:r>
            <w:r>
              <w:rPr>
                <w:rFonts w:hint="eastAsia"/>
                <w:color w:val="FF0000"/>
                <w:sz w:val="18"/>
              </w:rPr>
              <w:t>年级</w:t>
            </w:r>
            <w:r>
              <w:rPr>
                <w:rFonts w:hint="eastAsia"/>
                <w:color w:val="FF0000"/>
                <w:sz w:val="18"/>
                <w:lang w:val="en-US" w:eastAsia="zh-CN"/>
              </w:rPr>
              <w:t>考核</w:t>
            </w:r>
            <w:r>
              <w:rPr>
                <w:rFonts w:hint="eastAsia"/>
                <w:color w:val="FF0000"/>
                <w:sz w:val="18"/>
              </w:rPr>
              <w:t>排</w:t>
            </w:r>
            <w:r>
              <w:rPr>
                <w:rFonts w:hint="eastAsia"/>
                <w:color w:val="FF0000"/>
                <w:sz w:val="18"/>
                <w:lang w:val="en-US" w:eastAsia="zh-CN"/>
              </w:rPr>
              <w:t>名</w:t>
            </w:r>
            <w:r>
              <w:rPr>
                <w:rFonts w:hint="eastAsia"/>
                <w:color w:val="FF0000"/>
                <w:sz w:val="18"/>
              </w:rPr>
              <w:t>中处于前1/3的班级每人加1分</w:t>
            </w:r>
            <w:r>
              <w:rPr>
                <w:rFonts w:hint="eastAsia"/>
                <w:color w:val="FF0000"/>
                <w:sz w:val="18"/>
                <w:lang w:eastAsia="zh-CN"/>
              </w:rPr>
              <w:t>、</w:t>
            </w:r>
            <w:r>
              <w:rPr>
                <w:rFonts w:hint="eastAsia"/>
                <w:color w:val="FF0000"/>
                <w:sz w:val="18"/>
              </w:rPr>
              <w:t>处于后1/3的班级每人扣</w:t>
            </w:r>
            <w:r>
              <w:rPr>
                <w:rFonts w:hint="eastAsia"/>
                <w:color w:val="FF0000"/>
                <w:sz w:val="18"/>
                <w:lang w:val="en-US" w:eastAsia="zh-CN"/>
              </w:rPr>
              <w:t>2</w:t>
            </w:r>
            <w:r>
              <w:rPr>
                <w:rFonts w:hint="eastAsia"/>
                <w:color w:val="FF0000"/>
                <w:sz w:val="18"/>
              </w:rPr>
              <w:t>分</w:t>
            </w:r>
            <w:r>
              <w:rPr>
                <w:rFonts w:hint="eastAsia"/>
                <w:color w:val="FF0000"/>
                <w:sz w:val="18"/>
                <w:lang w:eastAsia="zh-CN"/>
              </w:rPr>
              <w:t>，</w:t>
            </w:r>
            <w:r>
              <w:rPr>
                <w:rFonts w:hint="eastAsia"/>
                <w:color w:val="FF0000"/>
                <w:sz w:val="18"/>
              </w:rPr>
              <w:t>全年排名由学院</w:t>
            </w:r>
            <w:r>
              <w:rPr>
                <w:rFonts w:hint="eastAsia"/>
                <w:color w:val="FF0000"/>
                <w:sz w:val="18"/>
                <w:lang w:val="en-US" w:eastAsia="zh-CN"/>
              </w:rPr>
              <w:t>团委·学生会</w:t>
            </w:r>
            <w:r>
              <w:rPr>
                <w:rFonts w:hint="eastAsia"/>
                <w:color w:val="FF0000"/>
                <w:sz w:val="18"/>
              </w:rPr>
              <w:t>进行</w:t>
            </w:r>
            <w:r>
              <w:rPr>
                <w:rFonts w:hint="eastAsia"/>
                <w:color w:val="FF0000"/>
                <w:sz w:val="18"/>
                <w:lang w:val="en-US" w:eastAsia="zh-CN"/>
              </w:rPr>
              <w:t>考核</w:t>
            </w:r>
            <w:r>
              <w:rPr>
                <w:rFonts w:hint="eastAsia"/>
                <w:color w:val="FF0000"/>
                <w:sz w:val="18"/>
              </w:rPr>
              <w:t>公布。</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22" w:type="dxa"/>
            <w:vMerge w:val="continue"/>
            <w:tcBorders>
              <w:top w:val="nil"/>
            </w:tcBorders>
          </w:tcPr>
          <w:p>
            <w:pPr>
              <w:rPr>
                <w:sz w:val="2"/>
                <w:szCs w:val="2"/>
              </w:rPr>
            </w:pPr>
          </w:p>
        </w:tc>
        <w:tc>
          <w:tcPr>
            <w:tcW w:w="473" w:type="dxa"/>
          </w:tcPr>
          <w:p>
            <w:pPr>
              <w:pStyle w:val="7"/>
              <w:spacing w:before="55"/>
              <w:ind w:left="187"/>
              <w:rPr>
                <w:sz w:val="18"/>
              </w:rPr>
            </w:pPr>
            <w:r>
              <w:rPr>
                <w:sz w:val="18"/>
              </w:rPr>
              <w:t>7</w:t>
            </w:r>
          </w:p>
        </w:tc>
        <w:tc>
          <w:tcPr>
            <w:tcW w:w="12463" w:type="dxa"/>
          </w:tcPr>
          <w:p>
            <w:pPr>
              <w:pStyle w:val="7"/>
              <w:spacing w:before="55"/>
              <w:ind w:left="33"/>
              <w:rPr>
                <w:sz w:val="18"/>
              </w:rPr>
            </w:pPr>
            <w:r>
              <w:rPr>
                <w:sz w:val="18"/>
              </w:rPr>
              <w:t>有拾金不昧、抢险救灾、见义勇为、敢于同违法分子作斗争的行为，表现突出并受到表扬或社会赞誉者，可本人申请或班级推荐由学工办认定加3-5分。</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922" w:type="dxa"/>
            <w:vMerge w:val="continue"/>
            <w:tcBorders>
              <w:top w:val="nil"/>
            </w:tcBorders>
          </w:tcPr>
          <w:p>
            <w:pPr>
              <w:rPr>
                <w:sz w:val="2"/>
                <w:szCs w:val="2"/>
              </w:rPr>
            </w:pPr>
          </w:p>
        </w:tc>
        <w:tc>
          <w:tcPr>
            <w:tcW w:w="473" w:type="dxa"/>
          </w:tcPr>
          <w:p>
            <w:pPr>
              <w:pStyle w:val="7"/>
              <w:spacing w:before="55"/>
              <w:ind w:left="187"/>
              <w:rPr>
                <w:sz w:val="18"/>
              </w:rPr>
            </w:pPr>
            <w:r>
              <w:rPr>
                <w:sz w:val="18"/>
              </w:rPr>
              <w:t>8</w:t>
            </w:r>
          </w:p>
        </w:tc>
        <w:tc>
          <w:tcPr>
            <w:tcW w:w="12463" w:type="dxa"/>
          </w:tcPr>
          <w:p>
            <w:pPr>
              <w:pStyle w:val="7"/>
              <w:spacing w:before="55"/>
              <w:ind w:left="33"/>
              <w:rPr>
                <w:sz w:val="18"/>
              </w:rPr>
            </w:pPr>
            <w:r>
              <w:rPr>
                <w:sz w:val="18"/>
              </w:rPr>
              <w:t>获校级精神文明单项奖加5分（须提供荣誉证书)。</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7" w:hRule="atLeast"/>
        </w:trPr>
        <w:tc>
          <w:tcPr>
            <w:tcW w:w="922" w:type="dxa"/>
            <w:vMerge w:val="continue"/>
            <w:tcBorders>
              <w:top w:val="nil"/>
            </w:tcBorders>
          </w:tcPr>
          <w:p>
            <w:pPr>
              <w:rPr>
                <w:sz w:val="2"/>
                <w:szCs w:val="2"/>
              </w:rPr>
            </w:pPr>
          </w:p>
        </w:tc>
        <w:tc>
          <w:tcPr>
            <w:tcW w:w="473" w:type="dxa"/>
          </w:tcPr>
          <w:p>
            <w:pPr>
              <w:pStyle w:val="7"/>
              <w:spacing w:before="9"/>
              <w:rPr>
                <w:rFonts w:ascii="Times New Roman"/>
                <w:sz w:val="19"/>
              </w:rPr>
            </w:pPr>
          </w:p>
          <w:p>
            <w:pPr>
              <w:pStyle w:val="7"/>
              <w:ind w:left="187"/>
              <w:rPr>
                <w:sz w:val="18"/>
              </w:rPr>
            </w:pPr>
            <w:r>
              <w:rPr>
                <w:sz w:val="18"/>
              </w:rPr>
              <w:t>9</w:t>
            </w:r>
          </w:p>
        </w:tc>
        <w:tc>
          <w:tcPr>
            <w:tcW w:w="12463" w:type="dxa"/>
          </w:tcPr>
          <w:p>
            <w:pPr>
              <w:pStyle w:val="7"/>
              <w:spacing w:before="7" w:line="232" w:lineRule="auto"/>
              <w:ind w:left="33" w:right="74"/>
              <w:rPr>
                <w:sz w:val="18"/>
              </w:rPr>
            </w:pPr>
            <w:r>
              <w:rPr>
                <w:sz w:val="18"/>
              </w:rPr>
              <w:t>本学年度主动申请参与学校（院）志愿者服务队活动一次加0.2分（需提供活动开展图文等相关证明，享受无偿资助如国励、国助同学超过学院要求必须参加次数的志愿活动可以计算），自行开展社会及民间志愿服务的同学一次加0.2分（需提供接受志愿服务部门相关证明及活动开展图片证明），评为校级“年度</w:t>
            </w:r>
          </w:p>
          <w:p>
            <w:pPr>
              <w:pStyle w:val="7"/>
              <w:spacing w:line="182" w:lineRule="exact"/>
              <w:ind w:left="33"/>
              <w:rPr>
                <w:sz w:val="18"/>
              </w:rPr>
            </w:pPr>
            <w:r>
              <w:rPr>
                <w:sz w:val="18"/>
              </w:rPr>
              <w:t>优秀志愿者”、或被社会及民间志愿服务团体评为“优秀志愿者”、“先进个人”等加1分，院级“优秀志愿者”加0.5分，第9条加分上限为3分。</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3" w:hRule="atLeast"/>
        </w:trPr>
        <w:tc>
          <w:tcPr>
            <w:tcW w:w="922" w:type="dxa"/>
            <w:vMerge w:val="continue"/>
            <w:tcBorders>
              <w:top w:val="nil"/>
            </w:tcBorders>
          </w:tcPr>
          <w:p>
            <w:pPr>
              <w:rPr>
                <w:sz w:val="2"/>
                <w:szCs w:val="2"/>
              </w:rPr>
            </w:pPr>
          </w:p>
        </w:tc>
        <w:tc>
          <w:tcPr>
            <w:tcW w:w="473" w:type="dxa"/>
          </w:tcPr>
          <w:p>
            <w:pPr>
              <w:pStyle w:val="7"/>
              <w:rPr>
                <w:rFonts w:ascii="Times New Roman"/>
                <w:sz w:val="18"/>
              </w:rPr>
            </w:pPr>
          </w:p>
          <w:p>
            <w:pPr>
              <w:pStyle w:val="7"/>
              <w:spacing w:before="3"/>
              <w:rPr>
                <w:rFonts w:ascii="Times New Roman"/>
                <w:sz w:val="23"/>
              </w:rPr>
            </w:pPr>
          </w:p>
          <w:p>
            <w:pPr>
              <w:pStyle w:val="7"/>
              <w:ind w:left="141"/>
              <w:rPr>
                <w:sz w:val="18"/>
              </w:rPr>
            </w:pPr>
            <w:r>
              <w:rPr>
                <w:sz w:val="18"/>
              </w:rPr>
              <w:t>10</w:t>
            </w:r>
          </w:p>
        </w:tc>
        <w:tc>
          <w:tcPr>
            <w:tcW w:w="12463" w:type="dxa"/>
          </w:tcPr>
          <w:p>
            <w:pPr>
              <w:pStyle w:val="7"/>
              <w:spacing w:before="29" w:line="232" w:lineRule="auto"/>
              <w:ind w:left="33" w:right="74"/>
              <w:rPr>
                <w:color w:val="FF0000"/>
                <w:sz w:val="18"/>
              </w:rPr>
            </w:pPr>
            <w:r>
              <w:rPr>
                <w:color w:val="FF0000"/>
                <w:sz w:val="18"/>
              </w:rPr>
              <w:t>任职一学年以上且保证较好完成工作职责</w:t>
            </w:r>
            <w:r>
              <w:rPr>
                <w:rFonts w:hint="eastAsia"/>
                <w:color w:val="FF0000"/>
                <w:sz w:val="18"/>
                <w:lang w:val="en-US" w:eastAsia="zh-CN"/>
              </w:rPr>
              <w:t>的院</w:t>
            </w:r>
            <w:r>
              <w:rPr>
                <w:color w:val="FF0000"/>
                <w:sz w:val="18"/>
              </w:rPr>
              <w:t>学生党支部副书记加</w:t>
            </w:r>
            <w:r>
              <w:rPr>
                <w:rFonts w:hint="eastAsia"/>
                <w:color w:val="FF0000"/>
                <w:sz w:val="18"/>
                <w:lang w:val="en-US" w:eastAsia="zh-CN"/>
              </w:rPr>
              <w:t>4</w:t>
            </w:r>
            <w:r>
              <w:rPr>
                <w:color w:val="FF0000"/>
                <w:sz w:val="18"/>
              </w:rPr>
              <w:t>分，</w:t>
            </w:r>
            <w:r>
              <w:rPr>
                <w:rFonts w:hint="eastAsia"/>
                <w:color w:val="FF0000"/>
                <w:sz w:val="18"/>
                <w:lang w:val="en-US" w:eastAsia="zh-CN"/>
              </w:rPr>
              <w:t>学生</w:t>
            </w:r>
            <w:r>
              <w:rPr>
                <w:color w:val="FF0000"/>
                <w:sz w:val="18"/>
              </w:rPr>
              <w:t>党支部支委加</w:t>
            </w:r>
            <w:r>
              <w:rPr>
                <w:rFonts w:hint="eastAsia"/>
                <w:color w:val="FF0000"/>
                <w:sz w:val="18"/>
                <w:lang w:val="en-US" w:eastAsia="zh-CN"/>
              </w:rPr>
              <w:t>3</w:t>
            </w:r>
            <w:r>
              <w:rPr>
                <w:color w:val="FF0000"/>
                <w:sz w:val="18"/>
              </w:rPr>
              <w:t>分；</w:t>
            </w:r>
            <w:r>
              <w:rPr>
                <w:rFonts w:hint="eastAsia"/>
                <w:color w:val="FF0000"/>
                <w:sz w:val="18"/>
                <w:lang w:val="en-US" w:eastAsia="zh-CN"/>
              </w:rPr>
              <w:t>院团委·学生会主席团成员加6分，院学生会</w:t>
            </w:r>
            <w:r>
              <w:rPr>
                <w:color w:val="FF0000"/>
                <w:sz w:val="18"/>
              </w:rPr>
              <w:t>部长（副部长）</w:t>
            </w:r>
            <w:r>
              <w:rPr>
                <w:rFonts w:hint="eastAsia"/>
                <w:color w:val="FF0000"/>
                <w:sz w:val="18"/>
                <w:lang w:val="en-US" w:eastAsia="zh-CN"/>
              </w:rPr>
              <w:t>加4分，院学生会干事加2分</w:t>
            </w:r>
            <w:r>
              <w:rPr>
                <w:rFonts w:hint="eastAsia"/>
                <w:sz w:val="18"/>
                <w:lang w:val="en-US" w:eastAsia="zh-CN"/>
              </w:rPr>
              <w:t>；</w:t>
            </w:r>
            <w:r>
              <w:rPr>
                <w:sz w:val="18"/>
              </w:rPr>
              <w:t>校学生会、校团委秘书处、校学生社团联合会、学校大学生艺术团、校易班学生工作站、校青年志愿者服务中心主席团成员加3分，部长（副部长）加2分，干事加1分；学校各部门成立的学生团体（含图管会、伙管会、自律委员会、心理委员会等团体）负责人加2分，部长（副部长）加1分，干事加0.5分；各协会理事成员加2分，部长（副部长）加1分，干事加0.5 分；</w:t>
            </w:r>
            <w:r>
              <w:rPr>
                <w:color w:val="FF0000"/>
                <w:sz w:val="18"/>
              </w:rPr>
              <w:t>学院艺术团、志愿者服务队负责人加</w:t>
            </w:r>
            <w:r>
              <w:rPr>
                <w:rFonts w:hint="eastAsia"/>
                <w:color w:val="FF0000"/>
                <w:sz w:val="18"/>
                <w:lang w:val="en-US" w:eastAsia="zh-CN"/>
              </w:rPr>
              <w:t>4</w:t>
            </w:r>
            <w:r>
              <w:rPr>
                <w:color w:val="FF0000"/>
                <w:sz w:val="18"/>
              </w:rPr>
              <w:t>分，分队队长加</w:t>
            </w:r>
            <w:r>
              <w:rPr>
                <w:rFonts w:hint="eastAsia"/>
                <w:color w:val="FF0000"/>
                <w:sz w:val="18"/>
                <w:lang w:val="en-US" w:eastAsia="zh-CN"/>
              </w:rPr>
              <w:t>2</w:t>
            </w:r>
            <w:r>
              <w:rPr>
                <w:color w:val="FF0000"/>
                <w:sz w:val="18"/>
              </w:rPr>
              <w:t>分，成员加</w:t>
            </w:r>
            <w:r>
              <w:rPr>
                <w:rFonts w:hint="eastAsia"/>
                <w:color w:val="FF0000"/>
                <w:sz w:val="18"/>
                <w:lang w:val="en-US" w:eastAsia="zh-CN"/>
              </w:rPr>
              <w:t>1</w:t>
            </w:r>
            <w:r>
              <w:rPr>
                <w:color w:val="FF0000"/>
                <w:sz w:val="18"/>
              </w:rPr>
              <w:t>分；学院篮球、排球、足球、等体育队伍队长或学生教练加</w:t>
            </w:r>
            <w:r>
              <w:rPr>
                <w:rFonts w:hint="eastAsia"/>
                <w:color w:val="FF0000"/>
                <w:sz w:val="18"/>
                <w:lang w:val="en-US" w:eastAsia="zh-CN"/>
              </w:rPr>
              <w:t>3</w:t>
            </w:r>
            <w:r>
              <w:rPr>
                <w:color w:val="FF0000"/>
                <w:sz w:val="18"/>
              </w:rPr>
              <w:t>分，成员加</w:t>
            </w:r>
            <w:r>
              <w:rPr>
                <w:rFonts w:hint="eastAsia"/>
                <w:color w:val="FF0000"/>
                <w:sz w:val="18"/>
                <w:lang w:val="en-US" w:eastAsia="zh-CN"/>
              </w:rPr>
              <w:t>2</w:t>
            </w:r>
            <w:r>
              <w:rPr>
                <w:color w:val="FF0000"/>
                <w:sz w:val="18"/>
              </w:rPr>
              <w:t>分。</w:t>
            </w:r>
          </w:p>
          <w:p>
            <w:pPr>
              <w:pStyle w:val="7"/>
              <w:spacing w:line="210" w:lineRule="exact"/>
              <w:ind w:left="33"/>
              <w:rPr>
                <w:sz w:val="18"/>
              </w:rPr>
            </w:pPr>
            <w:r>
              <w:rPr>
                <w:sz w:val="18"/>
              </w:rPr>
              <w:t>（第10条加分只加最高分，不累加，需由主管老师认定工作业绩，非个人因素只工作一学期的需减半加分，个人因素造成的</w:t>
            </w:r>
            <w:r>
              <w:rPr>
                <w:rFonts w:hint="eastAsia"/>
                <w:sz w:val="18"/>
                <w:lang w:val="en-US" w:eastAsia="zh-CN"/>
              </w:rPr>
              <w:t>只</w:t>
            </w:r>
            <w:r>
              <w:rPr>
                <w:sz w:val="18"/>
              </w:rPr>
              <w:t>工作一学期不加分。）</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trPr>
        <w:tc>
          <w:tcPr>
            <w:tcW w:w="922" w:type="dxa"/>
            <w:vMerge w:val="continue"/>
            <w:tcBorders>
              <w:top w:val="nil"/>
            </w:tcBorders>
          </w:tcPr>
          <w:p>
            <w:pPr>
              <w:rPr>
                <w:sz w:val="2"/>
                <w:szCs w:val="2"/>
              </w:rPr>
            </w:pPr>
          </w:p>
        </w:tc>
        <w:tc>
          <w:tcPr>
            <w:tcW w:w="473" w:type="dxa"/>
          </w:tcPr>
          <w:p>
            <w:pPr>
              <w:pStyle w:val="7"/>
              <w:rPr>
                <w:rFonts w:ascii="Times New Roman"/>
                <w:sz w:val="18"/>
              </w:rPr>
            </w:pPr>
          </w:p>
          <w:p>
            <w:pPr>
              <w:pStyle w:val="7"/>
              <w:spacing w:before="109"/>
              <w:ind w:left="141"/>
              <w:rPr>
                <w:sz w:val="18"/>
              </w:rPr>
            </w:pPr>
            <w:r>
              <w:rPr>
                <w:sz w:val="18"/>
              </w:rPr>
              <w:t>11</w:t>
            </w:r>
          </w:p>
        </w:tc>
        <w:tc>
          <w:tcPr>
            <w:tcW w:w="12463" w:type="dxa"/>
          </w:tcPr>
          <w:p>
            <w:pPr>
              <w:pStyle w:val="7"/>
              <w:spacing w:line="240" w:lineRule="auto"/>
              <w:rPr>
                <w:sz w:val="18"/>
              </w:rPr>
            </w:pPr>
            <w:r>
              <w:rPr>
                <w:rFonts w:hint="eastAsia"/>
                <w:sz w:val="18"/>
              </w:rPr>
              <w:t>任职一学期以上且保证较好完成工作职责的情况下班级一学年无补考，班长、团支书、学习委员加3分，班团支委其他干部加2分；班级不及格率（补考人数/班级总人数）≤15%，班长、团支书、学习委员加2分，班团支委其他干部加1分；15%&lt;班级不及格率≤30%，班长、团支书、学习委员加1分，班团支委其他干部加0.5分；班级不及格率&gt;30%，所有班干部不加分；班上若出现重大违纪事件，班长、团支书扣2分，班团支委其他干部扣1分。（第1</w:t>
            </w:r>
            <w:r>
              <w:rPr>
                <w:rFonts w:hint="eastAsia"/>
                <w:sz w:val="18"/>
                <w:lang w:val="en-US" w:eastAsia="zh-CN"/>
              </w:rPr>
              <w:t>1</w:t>
            </w:r>
            <w:r>
              <w:rPr>
                <w:rFonts w:hint="eastAsia"/>
                <w:sz w:val="18"/>
              </w:rPr>
              <w:t>条加分只加最高分，不累加，需由辅导员认定工作业绩）。</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2" w:hRule="atLeast"/>
        </w:trPr>
        <w:tc>
          <w:tcPr>
            <w:tcW w:w="922" w:type="dxa"/>
            <w:vMerge w:val="continue"/>
            <w:tcBorders>
              <w:top w:val="nil"/>
            </w:tcBorders>
          </w:tcPr>
          <w:p>
            <w:pPr>
              <w:rPr>
                <w:sz w:val="2"/>
                <w:szCs w:val="2"/>
              </w:rPr>
            </w:pPr>
          </w:p>
        </w:tc>
        <w:tc>
          <w:tcPr>
            <w:tcW w:w="473" w:type="dxa"/>
          </w:tcPr>
          <w:p>
            <w:pPr>
              <w:pStyle w:val="7"/>
              <w:spacing w:before="4"/>
              <w:rPr>
                <w:rFonts w:ascii="Times New Roman"/>
                <w:sz w:val="24"/>
              </w:rPr>
            </w:pPr>
          </w:p>
          <w:p>
            <w:pPr>
              <w:pStyle w:val="7"/>
              <w:ind w:left="141"/>
              <w:rPr>
                <w:sz w:val="18"/>
              </w:rPr>
            </w:pPr>
            <w:r>
              <w:rPr>
                <w:sz w:val="18"/>
              </w:rPr>
              <w:t>12</w:t>
            </w:r>
          </w:p>
        </w:tc>
        <w:tc>
          <w:tcPr>
            <w:tcW w:w="12463" w:type="dxa"/>
          </w:tcPr>
          <w:p>
            <w:pPr>
              <w:pStyle w:val="7"/>
              <w:spacing w:before="60" w:line="232" w:lineRule="auto"/>
              <w:ind w:left="33" w:right="76"/>
              <w:rPr>
                <w:sz w:val="18"/>
              </w:rPr>
            </w:pPr>
            <w:r>
              <w:rPr>
                <w:sz w:val="18"/>
              </w:rPr>
              <w:t>本学年度获得校级“校长特别奖”荣誉称号者加4分；获得“三好学生”、“优秀学生干部”、“优秀团员”、“优秀团干”、“社会活动积极分子”、“五四红旗团干部”等荣誉称号者，国家级加5分，省级加3分，市级加2分；校级“优秀共产党员”、“五四之星”等荣誉称号加2分；校级“优秀教学信息员”</w:t>
            </w:r>
          </w:p>
          <w:p>
            <w:pPr>
              <w:pStyle w:val="7"/>
              <w:spacing w:line="227" w:lineRule="exact"/>
              <w:ind w:left="33"/>
              <w:rPr>
                <w:sz w:val="18"/>
              </w:rPr>
            </w:pPr>
            <w:r>
              <w:rPr>
                <w:sz w:val="18"/>
              </w:rPr>
              <w:t>、“优秀通讯员”等荣誉称号加1分；学院“优秀学生干部标兵”、“优秀干事”加1分。（校级“三优一好”和“社会活动积极分子”不享受加分）</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trPr>
        <w:tc>
          <w:tcPr>
            <w:tcW w:w="922" w:type="dxa"/>
            <w:vMerge w:val="continue"/>
            <w:tcBorders>
              <w:top w:val="nil"/>
            </w:tcBorders>
          </w:tcPr>
          <w:p>
            <w:pPr>
              <w:rPr>
                <w:sz w:val="2"/>
                <w:szCs w:val="2"/>
              </w:rPr>
            </w:pPr>
          </w:p>
        </w:tc>
        <w:tc>
          <w:tcPr>
            <w:tcW w:w="473" w:type="dxa"/>
          </w:tcPr>
          <w:p>
            <w:pPr>
              <w:pStyle w:val="7"/>
              <w:spacing w:before="151"/>
              <w:ind w:left="141"/>
              <w:rPr>
                <w:sz w:val="18"/>
              </w:rPr>
            </w:pPr>
            <w:r>
              <w:rPr>
                <w:sz w:val="18"/>
              </w:rPr>
              <w:t>13</w:t>
            </w:r>
          </w:p>
        </w:tc>
        <w:tc>
          <w:tcPr>
            <w:tcW w:w="12463" w:type="dxa"/>
          </w:tcPr>
          <w:p>
            <w:pPr>
              <w:pStyle w:val="7"/>
              <w:spacing w:before="39" w:line="224" w:lineRule="exact"/>
              <w:ind w:left="33" w:right="163"/>
              <w:rPr>
                <w:sz w:val="18"/>
              </w:rPr>
            </w:pPr>
            <w:r>
              <w:rPr>
                <w:sz w:val="18"/>
              </w:rPr>
              <w:t>本年度获得优秀（先进）集体（含优秀（先进）班集体、优秀（先进）团支部等、优秀学生社团、文明寝室）的成员，国家级加3分/人、省级加2分/人、市级加1分/人，校级加0.3分/人，院级加0.2分/人；十佳班集体、活力团支部成员加0.5分/人（同时获得以上两项荣誉不享受累计加分）。</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922" w:type="dxa"/>
            <w:vMerge w:val="continue"/>
            <w:tcBorders>
              <w:top w:val="nil"/>
            </w:tcBorders>
          </w:tcPr>
          <w:p>
            <w:pPr>
              <w:rPr>
                <w:sz w:val="2"/>
                <w:szCs w:val="2"/>
              </w:rPr>
            </w:pPr>
          </w:p>
        </w:tc>
        <w:tc>
          <w:tcPr>
            <w:tcW w:w="473" w:type="dxa"/>
          </w:tcPr>
          <w:p>
            <w:pPr>
              <w:pStyle w:val="7"/>
              <w:spacing w:before="23" w:line="207" w:lineRule="exact"/>
              <w:ind w:left="141"/>
              <w:rPr>
                <w:sz w:val="18"/>
              </w:rPr>
            </w:pPr>
            <w:r>
              <w:rPr>
                <w:sz w:val="18"/>
              </w:rPr>
              <w:t>14</w:t>
            </w:r>
          </w:p>
        </w:tc>
        <w:tc>
          <w:tcPr>
            <w:tcW w:w="12463" w:type="dxa"/>
          </w:tcPr>
          <w:p>
            <w:pPr>
              <w:pStyle w:val="7"/>
              <w:spacing w:before="23" w:line="207" w:lineRule="exact"/>
              <w:ind w:left="33"/>
              <w:rPr>
                <w:sz w:val="18"/>
              </w:rPr>
            </w:pPr>
            <w:r>
              <w:rPr>
                <w:sz w:val="18"/>
              </w:rPr>
              <w:t>敢于制止、检举违反校规校纪的行为并有突出表现者，须由本人或组织申请，并提供相关证明材料，由学工办认定可加1-2分。</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922" w:type="dxa"/>
            <w:vMerge w:val="continue"/>
            <w:tcBorders>
              <w:top w:val="nil"/>
            </w:tcBorders>
          </w:tcPr>
          <w:p>
            <w:pPr>
              <w:rPr>
                <w:sz w:val="2"/>
                <w:szCs w:val="2"/>
              </w:rPr>
            </w:pPr>
          </w:p>
        </w:tc>
        <w:tc>
          <w:tcPr>
            <w:tcW w:w="473" w:type="dxa"/>
          </w:tcPr>
          <w:p>
            <w:pPr>
              <w:pStyle w:val="7"/>
              <w:spacing w:before="23" w:line="207" w:lineRule="exact"/>
              <w:ind w:left="141"/>
              <w:rPr>
                <w:sz w:val="18"/>
              </w:rPr>
            </w:pPr>
            <w:r>
              <w:rPr>
                <w:sz w:val="18"/>
              </w:rPr>
              <w:t>15</w:t>
            </w:r>
          </w:p>
        </w:tc>
        <w:tc>
          <w:tcPr>
            <w:tcW w:w="12463" w:type="dxa"/>
          </w:tcPr>
          <w:p>
            <w:pPr>
              <w:pStyle w:val="7"/>
              <w:spacing w:before="23" w:line="207" w:lineRule="exact"/>
              <w:rPr>
                <w:sz w:val="18"/>
              </w:rPr>
            </w:pPr>
            <w:r>
              <w:rPr>
                <w:rFonts w:hint="eastAsia"/>
                <w:sz w:val="18"/>
                <w:lang w:val="en-US" w:eastAsia="zh-CN"/>
              </w:rPr>
              <w:t>无违反</w:t>
            </w:r>
            <w:r>
              <w:rPr>
                <w:sz w:val="18"/>
              </w:rPr>
              <w:t>校规校纪者加1分</w:t>
            </w:r>
            <w:r>
              <w:rPr>
                <w:color w:val="7030A0"/>
                <w:sz w:val="18"/>
              </w:rPr>
              <w:t>。</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922" w:type="dxa"/>
            <w:vMerge w:val="continue"/>
            <w:tcBorders>
              <w:top w:val="nil"/>
            </w:tcBorders>
          </w:tcPr>
          <w:p>
            <w:pPr>
              <w:rPr>
                <w:sz w:val="2"/>
                <w:szCs w:val="2"/>
              </w:rPr>
            </w:pPr>
          </w:p>
        </w:tc>
        <w:tc>
          <w:tcPr>
            <w:tcW w:w="473" w:type="dxa"/>
          </w:tcPr>
          <w:p>
            <w:pPr>
              <w:pStyle w:val="7"/>
              <w:spacing w:before="24" w:line="207" w:lineRule="exact"/>
              <w:ind w:left="141"/>
              <w:rPr>
                <w:sz w:val="18"/>
              </w:rPr>
            </w:pPr>
            <w:r>
              <w:rPr>
                <w:sz w:val="18"/>
              </w:rPr>
              <w:t>16</w:t>
            </w:r>
          </w:p>
        </w:tc>
        <w:tc>
          <w:tcPr>
            <w:tcW w:w="12463" w:type="dxa"/>
          </w:tcPr>
          <w:p>
            <w:pPr>
              <w:pStyle w:val="7"/>
              <w:spacing w:before="24" w:line="207" w:lineRule="exact"/>
              <w:ind w:left="33"/>
              <w:rPr>
                <w:sz w:val="18"/>
              </w:rPr>
            </w:pPr>
            <w:r>
              <w:rPr>
                <w:sz w:val="18"/>
              </w:rPr>
              <w:t>卫生受通报表扬的学生宿舍成员加0.2分/次（需提供学生公寓简报截图或者公寓公示照片）。</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922" w:type="dxa"/>
            <w:vMerge w:val="continue"/>
            <w:tcBorders>
              <w:top w:val="nil"/>
            </w:tcBorders>
          </w:tcPr>
          <w:p>
            <w:pPr>
              <w:rPr>
                <w:sz w:val="2"/>
                <w:szCs w:val="2"/>
              </w:rPr>
            </w:pPr>
          </w:p>
        </w:tc>
        <w:tc>
          <w:tcPr>
            <w:tcW w:w="473" w:type="dxa"/>
          </w:tcPr>
          <w:p>
            <w:pPr>
              <w:pStyle w:val="7"/>
              <w:spacing w:before="23" w:line="207" w:lineRule="exact"/>
              <w:ind w:left="141"/>
              <w:rPr>
                <w:sz w:val="18"/>
              </w:rPr>
            </w:pPr>
            <w:r>
              <w:rPr>
                <w:sz w:val="18"/>
              </w:rPr>
              <w:t>17</w:t>
            </w:r>
          </w:p>
        </w:tc>
        <w:tc>
          <w:tcPr>
            <w:tcW w:w="12463" w:type="dxa"/>
          </w:tcPr>
          <w:p>
            <w:pPr>
              <w:pStyle w:val="7"/>
              <w:spacing w:before="23" w:line="207" w:lineRule="exact"/>
              <w:ind w:left="33"/>
              <w:rPr>
                <w:sz w:val="18"/>
              </w:rPr>
            </w:pPr>
            <w:r>
              <w:rPr>
                <w:color w:val="FF0000"/>
                <w:sz w:val="18"/>
              </w:rPr>
              <w:t>不遵守纪律，旷课（包括早、晚自习）一学时扣0.</w:t>
            </w:r>
            <w:r>
              <w:rPr>
                <w:rFonts w:hint="eastAsia"/>
                <w:color w:val="FF0000"/>
                <w:sz w:val="18"/>
                <w:lang w:val="en-US" w:eastAsia="zh-CN"/>
              </w:rPr>
              <w:t>5</w:t>
            </w:r>
            <w:r>
              <w:rPr>
                <w:color w:val="FF0000"/>
                <w:sz w:val="18"/>
              </w:rPr>
              <w:t>分(迟到、早退</w:t>
            </w:r>
            <w:r>
              <w:rPr>
                <w:rFonts w:hint="eastAsia"/>
                <w:color w:val="FF0000"/>
                <w:sz w:val="18"/>
                <w:lang w:val="en-US" w:eastAsia="zh-CN"/>
              </w:rPr>
              <w:t>两</w:t>
            </w:r>
            <w:r>
              <w:rPr>
                <w:color w:val="FF0000"/>
                <w:sz w:val="18"/>
              </w:rPr>
              <w:t>次计旷课一学时)，扣分上限为5分。</w:t>
            </w:r>
            <w:r>
              <w:rPr>
                <w:sz w:val="18"/>
              </w:rPr>
              <w:t>无故晚归扣1分/次，无故未归扣2分/次。</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922" w:type="dxa"/>
            <w:vMerge w:val="continue"/>
            <w:tcBorders>
              <w:top w:val="nil"/>
            </w:tcBorders>
          </w:tcPr>
          <w:p>
            <w:pPr>
              <w:rPr>
                <w:sz w:val="2"/>
                <w:szCs w:val="2"/>
              </w:rPr>
            </w:pPr>
          </w:p>
        </w:tc>
        <w:tc>
          <w:tcPr>
            <w:tcW w:w="473" w:type="dxa"/>
          </w:tcPr>
          <w:p>
            <w:pPr>
              <w:pStyle w:val="7"/>
              <w:spacing w:before="23" w:line="208" w:lineRule="exact"/>
              <w:ind w:left="141"/>
              <w:rPr>
                <w:sz w:val="18"/>
              </w:rPr>
            </w:pPr>
            <w:r>
              <w:rPr>
                <w:sz w:val="18"/>
              </w:rPr>
              <w:t>18</w:t>
            </w:r>
          </w:p>
        </w:tc>
        <w:tc>
          <w:tcPr>
            <w:tcW w:w="12463" w:type="dxa"/>
          </w:tcPr>
          <w:p>
            <w:pPr>
              <w:pStyle w:val="7"/>
              <w:spacing w:before="23" w:line="208" w:lineRule="exact"/>
              <w:ind w:left="33"/>
              <w:rPr>
                <w:sz w:val="18"/>
              </w:rPr>
            </w:pPr>
            <w:r>
              <w:rPr>
                <w:sz w:val="18"/>
              </w:rPr>
              <w:t>不关心集体和他人，有损人利己行为和破坏团结的言行扣3分/次；骄傲自满、言行不一致造成不良影响扣2分/次。</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922" w:type="dxa"/>
            <w:vMerge w:val="continue"/>
            <w:tcBorders>
              <w:top w:val="nil"/>
            </w:tcBorders>
          </w:tcPr>
          <w:p>
            <w:pPr>
              <w:rPr>
                <w:sz w:val="2"/>
                <w:szCs w:val="2"/>
              </w:rPr>
            </w:pPr>
          </w:p>
        </w:tc>
        <w:tc>
          <w:tcPr>
            <w:tcW w:w="473" w:type="dxa"/>
          </w:tcPr>
          <w:p>
            <w:pPr>
              <w:pStyle w:val="7"/>
              <w:spacing w:before="45" w:line="229" w:lineRule="exact"/>
              <w:ind w:left="141"/>
              <w:rPr>
                <w:sz w:val="18"/>
              </w:rPr>
            </w:pPr>
            <w:r>
              <w:rPr>
                <w:sz w:val="18"/>
              </w:rPr>
              <w:t>19</w:t>
            </w:r>
          </w:p>
        </w:tc>
        <w:tc>
          <w:tcPr>
            <w:tcW w:w="12463" w:type="dxa"/>
          </w:tcPr>
          <w:p>
            <w:pPr>
              <w:pStyle w:val="7"/>
              <w:spacing w:before="45" w:line="229" w:lineRule="exact"/>
              <w:ind w:left="33"/>
              <w:rPr>
                <w:sz w:val="18"/>
              </w:rPr>
            </w:pPr>
            <w:r>
              <w:rPr>
                <w:sz w:val="18"/>
              </w:rPr>
              <w:t>不尊敬师长、不尊重他人、待人不礼貌、说话不文明扣1分/次。</w:t>
            </w:r>
          </w:p>
        </w:tc>
        <w:tc>
          <w:tcPr>
            <w:tcW w:w="968" w:type="dxa"/>
          </w:tcPr>
          <w:p>
            <w:pPr>
              <w:pStyle w:val="7"/>
              <w:rPr>
                <w:rFonts w:ascii="Times New Roman"/>
                <w:sz w:val="18"/>
              </w:rPr>
            </w:pPr>
          </w:p>
        </w:tc>
        <w:tc>
          <w:tcPr>
            <w:tcW w:w="1036"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922" w:type="dxa"/>
            <w:vMerge w:val="continue"/>
            <w:tcBorders>
              <w:top w:val="nil"/>
            </w:tcBorders>
          </w:tcPr>
          <w:p>
            <w:pPr>
              <w:rPr>
                <w:sz w:val="2"/>
                <w:szCs w:val="2"/>
              </w:rPr>
            </w:pPr>
          </w:p>
        </w:tc>
        <w:tc>
          <w:tcPr>
            <w:tcW w:w="473" w:type="dxa"/>
          </w:tcPr>
          <w:p>
            <w:pPr>
              <w:pStyle w:val="7"/>
              <w:spacing w:before="115"/>
              <w:ind w:left="141"/>
              <w:rPr>
                <w:sz w:val="18"/>
              </w:rPr>
            </w:pPr>
            <w:r>
              <w:rPr>
                <w:sz w:val="18"/>
              </w:rPr>
              <w:t>20</w:t>
            </w:r>
          </w:p>
        </w:tc>
        <w:tc>
          <w:tcPr>
            <w:tcW w:w="12463" w:type="dxa"/>
          </w:tcPr>
          <w:p>
            <w:pPr>
              <w:pStyle w:val="7"/>
              <w:spacing w:before="2" w:line="227" w:lineRule="exact"/>
              <w:ind w:left="33"/>
              <w:rPr>
                <w:sz w:val="18"/>
              </w:rPr>
            </w:pPr>
            <w:r>
              <w:rPr>
                <w:sz w:val="18"/>
              </w:rPr>
              <w:t>损坏公物、花草、树木或私自安装、拆除公共设施者，每次扣2分；在公共场所或教学区内乱写乱画者，每次扣2分；擅自撕毁、涂改学校通知、海报、标语</w:t>
            </w:r>
          </w:p>
          <w:p>
            <w:pPr>
              <w:pStyle w:val="7"/>
              <w:spacing w:line="182" w:lineRule="exact"/>
              <w:ind w:left="33"/>
              <w:rPr>
                <w:sz w:val="18"/>
              </w:rPr>
            </w:pPr>
            <w:r>
              <w:rPr>
                <w:sz w:val="18"/>
              </w:rPr>
              <w:t>、广告等宣传品者，经查实，每次扣2分。</w:t>
            </w:r>
          </w:p>
        </w:tc>
        <w:tc>
          <w:tcPr>
            <w:tcW w:w="968" w:type="dxa"/>
          </w:tcPr>
          <w:p>
            <w:pPr>
              <w:pStyle w:val="7"/>
              <w:rPr>
                <w:rFonts w:ascii="Times New Roman"/>
                <w:sz w:val="18"/>
              </w:rPr>
            </w:pPr>
          </w:p>
        </w:tc>
        <w:tc>
          <w:tcPr>
            <w:tcW w:w="1036" w:type="dxa"/>
          </w:tcPr>
          <w:p>
            <w:pPr>
              <w:pStyle w:val="7"/>
              <w:rPr>
                <w:rFonts w:ascii="Times New Roman"/>
                <w:sz w:val="18"/>
              </w:rPr>
            </w:pPr>
          </w:p>
        </w:tc>
      </w:tr>
    </w:tbl>
    <w:p>
      <w:pPr>
        <w:spacing w:after="0"/>
        <w:rPr>
          <w:rFonts w:ascii="Times New Roman"/>
          <w:sz w:val="18"/>
        </w:rPr>
        <w:sectPr>
          <w:headerReference r:id="rId5" w:type="default"/>
          <w:type w:val="continuous"/>
          <w:pgSz w:w="16840" w:h="11910" w:orient="landscape"/>
          <w:pgMar w:top="1040" w:right="500" w:bottom="280" w:left="220" w:header="408" w:footer="720" w:gutter="0"/>
          <w:cols w:space="720" w:num="1"/>
        </w:sectPr>
      </w:pPr>
    </w:p>
    <w:tbl>
      <w:tblPr>
        <w:tblStyle w:val="3"/>
        <w:tblW w:w="0" w:type="auto"/>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21"/>
        <w:gridCol w:w="472"/>
        <w:gridCol w:w="12463"/>
        <w:gridCol w:w="967"/>
        <w:gridCol w:w="10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13856" w:type="dxa"/>
            <w:gridSpan w:val="3"/>
          </w:tcPr>
          <w:p>
            <w:pPr>
              <w:pStyle w:val="7"/>
              <w:spacing w:line="246" w:lineRule="exact"/>
              <w:ind w:left="5716" w:right="5681"/>
              <w:jc w:val="center"/>
              <w:rPr>
                <w:rFonts w:hint="eastAsia" w:ascii="微软雅黑" w:eastAsia="微软雅黑"/>
                <w:b/>
                <w:sz w:val="24"/>
              </w:rPr>
            </w:pPr>
            <w:r>
              <w:rPr>
                <w:rFonts w:hint="eastAsia" w:ascii="微软雅黑" w:eastAsia="微软雅黑"/>
                <w:b/>
                <w:sz w:val="24"/>
              </w:rPr>
              <w:t>综合素质测评指标体系</w:t>
            </w:r>
          </w:p>
        </w:tc>
        <w:tc>
          <w:tcPr>
            <w:tcW w:w="967" w:type="dxa"/>
          </w:tcPr>
          <w:p>
            <w:pPr>
              <w:pStyle w:val="7"/>
              <w:spacing w:line="246" w:lineRule="exact"/>
              <w:ind w:left="248"/>
              <w:rPr>
                <w:rFonts w:hint="eastAsia" w:ascii="微软雅黑" w:eastAsia="微软雅黑"/>
                <w:b/>
                <w:sz w:val="24"/>
              </w:rPr>
            </w:pPr>
            <w:r>
              <w:rPr>
                <w:rFonts w:hint="eastAsia" w:ascii="微软雅黑" w:eastAsia="微软雅黑"/>
                <w:b/>
                <w:sz w:val="24"/>
              </w:rPr>
              <w:t>自评</w:t>
            </w:r>
          </w:p>
        </w:tc>
        <w:tc>
          <w:tcPr>
            <w:tcW w:w="1035" w:type="dxa"/>
          </w:tcPr>
          <w:p>
            <w:pPr>
              <w:pStyle w:val="7"/>
              <w:spacing w:line="246" w:lineRule="exact"/>
              <w:ind w:left="281"/>
              <w:rPr>
                <w:rFonts w:hint="eastAsia" w:ascii="微软雅黑" w:eastAsia="微软雅黑"/>
                <w:b/>
                <w:sz w:val="24"/>
              </w:rPr>
            </w:pPr>
            <w:r>
              <w:rPr>
                <w:rFonts w:hint="eastAsia" w:ascii="微软雅黑" w:eastAsia="微软雅黑"/>
                <w:b/>
                <w:sz w:val="24"/>
              </w:rPr>
              <w:t>班评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921" w:type="dxa"/>
            <w:vMerge w:val="restart"/>
            <w:vAlign w:val="center"/>
          </w:tcPr>
          <w:p>
            <w:pPr>
              <w:pStyle w:val="7"/>
              <w:jc w:val="both"/>
              <w:rPr>
                <w:rFonts w:ascii="Times New Roman"/>
                <w:sz w:val="18"/>
              </w:rPr>
            </w:pPr>
            <w:r>
              <w:rPr>
                <w:rFonts w:hint="eastAsia" w:ascii="微软雅黑" w:eastAsia="微软雅黑"/>
                <w:b/>
                <w:sz w:val="24"/>
              </w:rPr>
              <w:t>科学文化素质</w:t>
            </w:r>
            <w:r>
              <w:rPr>
                <w:rFonts w:hint="eastAsia" w:ascii="微软雅黑" w:eastAsia="微软雅黑"/>
                <w:b/>
                <w:w w:val="90"/>
                <w:sz w:val="24"/>
              </w:rPr>
              <w:t xml:space="preserve">最高15 </w:t>
            </w:r>
            <w:r>
              <w:rPr>
                <w:rFonts w:hint="eastAsia" w:ascii="微软雅黑" w:eastAsia="微软雅黑"/>
                <w:b/>
                <w:sz w:val="24"/>
              </w:rPr>
              <w:t>分</w:t>
            </w:r>
          </w:p>
        </w:tc>
        <w:tc>
          <w:tcPr>
            <w:tcW w:w="472" w:type="dxa"/>
          </w:tcPr>
          <w:p>
            <w:pPr>
              <w:pStyle w:val="7"/>
              <w:spacing w:before="23" w:line="208" w:lineRule="exact"/>
              <w:ind w:left="122" w:right="110"/>
              <w:jc w:val="center"/>
              <w:rPr>
                <w:sz w:val="18"/>
              </w:rPr>
            </w:pPr>
            <w:r>
              <w:rPr>
                <w:sz w:val="18"/>
              </w:rPr>
              <w:t>21</w:t>
            </w:r>
          </w:p>
        </w:tc>
        <w:tc>
          <w:tcPr>
            <w:tcW w:w="12463" w:type="dxa"/>
            <w:vAlign w:val="top"/>
          </w:tcPr>
          <w:p>
            <w:pPr>
              <w:pStyle w:val="7"/>
              <w:spacing w:before="23" w:line="208" w:lineRule="exact"/>
              <w:ind w:left="33" w:leftChars="0" w:right="0" w:rightChars="0"/>
              <w:rPr>
                <w:rFonts w:ascii="宋体" w:hAnsi="宋体" w:eastAsia="宋体" w:cs="宋体"/>
                <w:sz w:val="18"/>
                <w:szCs w:val="22"/>
                <w:lang w:val="zh-CN" w:eastAsia="zh-CN" w:bidi="zh-CN"/>
              </w:rPr>
            </w:pPr>
            <w:r>
              <w:rPr>
                <w:sz w:val="18"/>
              </w:rPr>
              <w:t>存放管制刀具、使用违规电器、私拉乱接电线、卫生极待整改的宿舍成员每次扣1分。（以学校学生公寓简报为依据）</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921" w:type="dxa"/>
            <w:vMerge w:val="continue"/>
            <w:tcBorders>
              <w:top w:val="nil"/>
            </w:tcBorders>
          </w:tcPr>
          <w:p>
            <w:pPr>
              <w:rPr>
                <w:sz w:val="2"/>
                <w:szCs w:val="2"/>
              </w:rPr>
            </w:pPr>
          </w:p>
        </w:tc>
        <w:tc>
          <w:tcPr>
            <w:tcW w:w="472" w:type="dxa"/>
          </w:tcPr>
          <w:p>
            <w:pPr>
              <w:pStyle w:val="7"/>
              <w:spacing w:before="23" w:line="208" w:lineRule="exact"/>
              <w:ind w:left="122" w:right="110"/>
              <w:jc w:val="center"/>
              <w:rPr>
                <w:sz w:val="18"/>
              </w:rPr>
            </w:pPr>
            <w:r>
              <w:rPr>
                <w:sz w:val="18"/>
              </w:rPr>
              <w:t>22</w:t>
            </w:r>
          </w:p>
        </w:tc>
        <w:tc>
          <w:tcPr>
            <w:tcW w:w="12463" w:type="dxa"/>
            <w:vAlign w:val="top"/>
          </w:tcPr>
          <w:p>
            <w:pPr>
              <w:pStyle w:val="7"/>
              <w:spacing w:before="23" w:line="207" w:lineRule="exact"/>
              <w:ind w:left="33" w:leftChars="0" w:right="0" w:rightChars="0"/>
              <w:rPr>
                <w:rFonts w:ascii="宋体" w:hAnsi="宋体" w:eastAsia="宋体" w:cs="宋体"/>
                <w:sz w:val="18"/>
                <w:szCs w:val="22"/>
                <w:lang w:val="zh-CN" w:eastAsia="zh-CN" w:bidi="zh-CN"/>
              </w:rPr>
            </w:pPr>
            <w:r>
              <w:rPr>
                <w:sz w:val="18"/>
              </w:rPr>
              <w:t>包庇、姑息他人违法犯罪者，每次扣10分；包庇、姑息他人违反校规校纪者，每次扣3分。</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921" w:type="dxa"/>
            <w:vMerge w:val="continue"/>
            <w:tcBorders>
              <w:top w:val="nil"/>
            </w:tcBorders>
          </w:tcPr>
          <w:p>
            <w:pPr>
              <w:rPr>
                <w:sz w:val="2"/>
                <w:szCs w:val="2"/>
              </w:rPr>
            </w:pPr>
          </w:p>
        </w:tc>
        <w:tc>
          <w:tcPr>
            <w:tcW w:w="472" w:type="dxa"/>
            <w:vMerge w:val="restart"/>
          </w:tcPr>
          <w:p>
            <w:pPr>
              <w:pStyle w:val="7"/>
              <w:spacing w:before="23" w:line="207" w:lineRule="exact"/>
              <w:ind w:left="122" w:right="110"/>
              <w:jc w:val="center"/>
              <w:rPr>
                <w:sz w:val="18"/>
              </w:rPr>
            </w:pPr>
            <w:r>
              <w:rPr>
                <w:sz w:val="18"/>
              </w:rPr>
              <w:t>23</w:t>
            </w:r>
          </w:p>
        </w:tc>
        <w:tc>
          <w:tcPr>
            <w:tcW w:w="12463" w:type="dxa"/>
            <w:vMerge w:val="restart"/>
          </w:tcPr>
          <w:p>
            <w:pPr>
              <w:pStyle w:val="7"/>
              <w:spacing w:before="3" w:line="224" w:lineRule="exact"/>
              <w:ind w:left="33" w:right="73"/>
              <w:rPr>
                <w:sz w:val="18"/>
              </w:rPr>
            </w:pPr>
            <w:r>
              <w:rPr>
                <w:sz w:val="18"/>
              </w:rPr>
              <w:t>受警告处分者一次扣2分，受严重警告处分者一次扣3分，受记过处分一次扣4分，受留校察看处分以上及治安处罚者一次扣5分；受通报批评者，校级每次扣1 分，院级每次扣0.5分</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 w:hRule="atLeast"/>
        </w:trPr>
        <w:tc>
          <w:tcPr>
            <w:tcW w:w="921" w:type="dxa"/>
            <w:vMerge w:val="continue"/>
            <w:tcBorders>
              <w:top w:val="nil"/>
            </w:tcBorders>
          </w:tcPr>
          <w:p>
            <w:pPr>
              <w:rPr>
                <w:sz w:val="2"/>
                <w:szCs w:val="2"/>
              </w:rPr>
            </w:pPr>
          </w:p>
        </w:tc>
        <w:tc>
          <w:tcPr>
            <w:tcW w:w="472" w:type="dxa"/>
            <w:vMerge w:val="continue"/>
            <w:tcBorders/>
          </w:tcPr>
          <w:p>
            <w:pPr>
              <w:pStyle w:val="7"/>
              <w:spacing w:before="115"/>
              <w:ind w:left="122" w:right="110"/>
              <w:jc w:val="center"/>
              <w:rPr>
                <w:sz w:val="18"/>
              </w:rPr>
            </w:pPr>
          </w:p>
        </w:tc>
        <w:tc>
          <w:tcPr>
            <w:tcW w:w="12463" w:type="dxa"/>
            <w:vMerge w:val="continue"/>
            <w:tcBorders/>
          </w:tcPr>
          <w:p>
            <w:pPr>
              <w:pStyle w:val="7"/>
              <w:spacing w:before="3" w:line="224" w:lineRule="exact"/>
              <w:ind w:left="33" w:right="73"/>
              <w:rPr>
                <w:sz w:val="18"/>
              </w:rPr>
            </w:pP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9" w:hRule="atLeast"/>
        </w:trPr>
        <w:tc>
          <w:tcPr>
            <w:tcW w:w="921" w:type="dxa"/>
            <w:vMerge w:val="continue"/>
            <w:tcBorders>
              <w:top w:val="nil"/>
            </w:tcBorders>
          </w:tcPr>
          <w:p>
            <w:pPr>
              <w:rPr>
                <w:sz w:val="2"/>
                <w:szCs w:val="2"/>
              </w:rPr>
            </w:pPr>
          </w:p>
        </w:tc>
        <w:tc>
          <w:tcPr>
            <w:tcW w:w="47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4"/>
              <w:ind w:left="122" w:right="110"/>
              <w:jc w:val="center"/>
              <w:rPr>
                <w:rFonts w:hint="eastAsia" w:eastAsia="宋体"/>
                <w:sz w:val="18"/>
                <w:lang w:eastAsia="zh-CN"/>
              </w:rPr>
            </w:pPr>
            <w:r>
              <w:rPr>
                <w:sz w:val="18"/>
              </w:rPr>
              <w:t>2</w:t>
            </w:r>
            <w:r>
              <w:rPr>
                <w:rFonts w:hint="eastAsia"/>
                <w:sz w:val="18"/>
                <w:lang w:val="en-US" w:eastAsia="zh-CN"/>
              </w:rPr>
              <w:t>4</w:t>
            </w:r>
          </w:p>
        </w:tc>
        <w:tc>
          <w:tcPr>
            <w:tcW w:w="12463" w:type="dxa"/>
          </w:tcPr>
          <w:p>
            <w:pPr>
              <w:pStyle w:val="7"/>
              <w:spacing w:before="2" w:line="232" w:lineRule="auto"/>
              <w:ind w:left="33" w:right="167"/>
              <w:jc w:val="both"/>
              <w:rPr>
                <w:rFonts w:hint="eastAsia" w:ascii="微软雅黑" w:eastAsia="微软雅黑"/>
                <w:b/>
                <w:sz w:val="18"/>
              </w:rPr>
            </w:pPr>
            <w:r>
              <w:rPr>
                <w:rFonts w:hint="eastAsia"/>
                <w:sz w:val="18"/>
              </w:rPr>
              <w:t>本学年度参加科技、文体等各项活动获奖者，国家级：一等奖（或第1名)每项(次)加8分，二等奖(或第2-3名）每项(次)加6分，三等奖（或4-6名）每项(次)加4分，优秀奖每项(次)加2分；省部级：一等奖（含特等奖）每项(次)加5分，二等奖每项(次)加4分，三等奖以上每项(次)加3分，优秀奖每项(次)加1.5分；校市级：一等奖（含特等奖）每项(次)加2.5分，二等奖每项(次)加2分，三等奖每项(次)加1.5分，优秀奖每项(次)加1分；院级：一等奖每项(次)加1.5 分，二等奖每项(次)加1分，三等奖每项(次)加0.8分，优秀奖每项(次)加0.5分。（省级及以下排名次按第一名等同一等奖，第二、三名等同二等奖，第四、五、六名等同三等奖，其余12名以内等同优秀奖；校级活动认定以获奖证书加盖学生工作部、学生处、团委、教务处、体育委员会等公章为依据，学院活动以获奖证书加盖该学院党总支、行政章、团总支等公章为依据，加盖其他章的均不予认定。第26条同一事项（作品）参加不同级别比赛或活动按最高级别获奖情况加分，不累加；团体参赛的每名成员加分按相对应等次分数的1/2计算；</w:t>
            </w:r>
            <w:r>
              <w:rPr>
                <w:rFonts w:hint="eastAsia"/>
                <w:color w:val="FF0000"/>
                <w:sz w:val="18"/>
              </w:rPr>
              <w:t>参加校外比赛、网络知识竞赛须提前在学工办进行报备，比赛结束后</w:t>
            </w:r>
            <w:r>
              <w:rPr>
                <w:rFonts w:hint="eastAsia"/>
                <w:color w:val="FF0000"/>
                <w:sz w:val="18"/>
                <w:lang w:val="en-US" w:eastAsia="zh-CN"/>
              </w:rPr>
              <w:t>到</w:t>
            </w:r>
            <w:r>
              <w:rPr>
                <w:rFonts w:hint="eastAsia"/>
                <w:color w:val="FF0000"/>
                <w:sz w:val="18"/>
              </w:rPr>
              <w:t>学工办进行等级认证，加分按学工办</w:t>
            </w:r>
            <w:r>
              <w:rPr>
                <w:rFonts w:hint="eastAsia"/>
                <w:color w:val="FF0000"/>
                <w:sz w:val="18"/>
                <w:lang w:val="en-US" w:eastAsia="zh-CN"/>
              </w:rPr>
              <w:t>认定</w:t>
            </w:r>
            <w:r>
              <w:rPr>
                <w:rFonts w:hint="eastAsia"/>
                <w:color w:val="FF0000"/>
                <w:sz w:val="18"/>
              </w:rPr>
              <w:t>等级进行加分</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7" w:hRule="atLeast"/>
        </w:trPr>
        <w:tc>
          <w:tcPr>
            <w:tcW w:w="921" w:type="dxa"/>
            <w:vMerge w:val="continue"/>
            <w:tcBorders>
              <w:top w:val="nil"/>
            </w:tcBorders>
          </w:tcPr>
          <w:p>
            <w:pPr>
              <w:rPr>
                <w:sz w:val="2"/>
                <w:szCs w:val="2"/>
              </w:rPr>
            </w:pPr>
          </w:p>
        </w:tc>
        <w:tc>
          <w:tcPr>
            <w:tcW w:w="472" w:type="dxa"/>
          </w:tcPr>
          <w:p>
            <w:pPr>
              <w:pStyle w:val="7"/>
              <w:rPr>
                <w:rFonts w:ascii="Times New Roman"/>
                <w:sz w:val="18"/>
              </w:rPr>
            </w:pPr>
          </w:p>
          <w:p>
            <w:pPr>
              <w:pStyle w:val="7"/>
              <w:spacing w:before="134"/>
              <w:ind w:left="122" w:right="110"/>
              <w:jc w:val="center"/>
              <w:rPr>
                <w:rFonts w:hint="eastAsia" w:eastAsia="宋体"/>
                <w:sz w:val="18"/>
                <w:lang w:eastAsia="zh-CN"/>
              </w:rPr>
            </w:pPr>
            <w:r>
              <w:rPr>
                <w:sz w:val="18"/>
              </w:rPr>
              <w:t>2</w:t>
            </w:r>
            <w:r>
              <w:rPr>
                <w:rFonts w:hint="eastAsia"/>
                <w:sz w:val="18"/>
                <w:lang w:val="en-US" w:eastAsia="zh-CN"/>
              </w:rPr>
              <w:t>5</w:t>
            </w:r>
          </w:p>
        </w:tc>
        <w:tc>
          <w:tcPr>
            <w:tcW w:w="12463" w:type="dxa"/>
          </w:tcPr>
          <w:p>
            <w:pPr>
              <w:pStyle w:val="7"/>
              <w:spacing w:before="8" w:line="232" w:lineRule="auto"/>
              <w:ind w:left="33" w:right="74"/>
              <w:rPr>
                <w:sz w:val="18"/>
              </w:rPr>
            </w:pPr>
            <w:r>
              <w:rPr>
                <w:sz w:val="18"/>
              </w:rPr>
              <w:t>本学年度参加科技、文体等各项活动未获奖者，国家级每次加0.3分；省部级、校市级每次加0.2分（含各类知识竞赛、挑战杯、辩论赛、球赛、健美操、元旦万人长跑、运动会方阵队、彩旗队，运动会参加多个项目可分别加分），院级每次加0.1分（伙管会、图管会、自律委员会、各协会活动获奖者及参与者均按院级加分），“优秀解说员”、“最佳辩手”、“最佳风采奖”等比赛特色奖项根据所参加的级别只能算参与加分，即校级0.2，院级0.1。（第27条所有</w:t>
            </w:r>
          </w:p>
          <w:p>
            <w:pPr>
              <w:pStyle w:val="7"/>
              <w:spacing w:line="184" w:lineRule="exact"/>
              <w:ind w:left="33"/>
              <w:rPr>
                <w:sz w:val="18"/>
              </w:rPr>
            </w:pPr>
            <w:r>
              <w:rPr>
                <w:sz w:val="18"/>
              </w:rPr>
              <w:t>项目累计加分不超过3分；同一事项参加不同级别比赛或活动按最高级别参与情况加分，不累加）</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921" w:type="dxa"/>
            <w:vMerge w:val="continue"/>
            <w:tcBorders>
              <w:top w:val="nil"/>
            </w:tcBorders>
          </w:tcPr>
          <w:p>
            <w:pPr>
              <w:rPr>
                <w:sz w:val="2"/>
                <w:szCs w:val="2"/>
              </w:rPr>
            </w:pPr>
          </w:p>
        </w:tc>
        <w:tc>
          <w:tcPr>
            <w:tcW w:w="472" w:type="dxa"/>
          </w:tcPr>
          <w:p>
            <w:pPr>
              <w:pStyle w:val="7"/>
              <w:spacing w:before="136"/>
              <w:ind w:left="122" w:right="110"/>
              <w:jc w:val="center"/>
              <w:rPr>
                <w:rFonts w:hint="eastAsia" w:eastAsia="宋体"/>
                <w:sz w:val="18"/>
                <w:lang w:eastAsia="zh-CN"/>
              </w:rPr>
            </w:pPr>
            <w:r>
              <w:rPr>
                <w:sz w:val="18"/>
              </w:rPr>
              <w:t>2</w:t>
            </w:r>
            <w:r>
              <w:rPr>
                <w:rFonts w:hint="eastAsia"/>
                <w:sz w:val="18"/>
                <w:lang w:val="en-US" w:eastAsia="zh-CN"/>
              </w:rPr>
              <w:t>6</w:t>
            </w:r>
          </w:p>
        </w:tc>
        <w:tc>
          <w:tcPr>
            <w:tcW w:w="12463" w:type="dxa"/>
          </w:tcPr>
          <w:p>
            <w:pPr>
              <w:pStyle w:val="7"/>
              <w:spacing w:before="24" w:line="224" w:lineRule="exact"/>
              <w:ind w:left="33" w:right="75"/>
              <w:rPr>
                <w:sz w:val="18"/>
              </w:rPr>
            </w:pPr>
            <w:r>
              <w:rPr>
                <w:sz w:val="18"/>
              </w:rPr>
              <w:t>本学年度参加学术交流、学术研讨、课题研究、课外科技项目（大学生创新创业、挑战杯）等科技学术活动，省部级以上项目负责人加3分/项，其他成员加2 分/项；校市级项目负责人加2分/项，其他成员加1分。（课题和项目如没有在同一学年度完成，则立项学年度加一半，结题学年度加一半）</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73" w:hRule="atLeast"/>
        </w:trPr>
        <w:tc>
          <w:tcPr>
            <w:tcW w:w="921" w:type="dxa"/>
            <w:vMerge w:val="continue"/>
            <w:tcBorders>
              <w:top w:val="nil"/>
            </w:tcBorders>
          </w:tcPr>
          <w:p>
            <w:pPr>
              <w:rPr>
                <w:sz w:val="2"/>
                <w:szCs w:val="2"/>
              </w:rPr>
            </w:pPr>
          </w:p>
        </w:tc>
        <w:tc>
          <w:tcPr>
            <w:tcW w:w="472" w:type="dxa"/>
            <w:vAlign w:val="center"/>
          </w:tcPr>
          <w:p>
            <w:pPr>
              <w:pStyle w:val="7"/>
              <w:spacing w:before="3"/>
              <w:jc w:val="both"/>
              <w:rPr>
                <w:rFonts w:ascii="Times New Roman"/>
                <w:sz w:val="22"/>
              </w:rPr>
            </w:pPr>
          </w:p>
          <w:p>
            <w:pPr>
              <w:pStyle w:val="7"/>
              <w:ind w:left="122" w:right="110"/>
              <w:jc w:val="both"/>
              <w:rPr>
                <w:rFonts w:hint="eastAsia" w:eastAsia="宋体"/>
                <w:sz w:val="18"/>
                <w:lang w:eastAsia="zh-CN"/>
              </w:rPr>
            </w:pPr>
            <w:r>
              <w:rPr>
                <w:sz w:val="18"/>
              </w:rPr>
              <w:t>2</w:t>
            </w:r>
            <w:r>
              <w:rPr>
                <w:rFonts w:hint="eastAsia"/>
                <w:sz w:val="18"/>
                <w:lang w:val="en-US" w:eastAsia="zh-CN"/>
              </w:rPr>
              <w:t>7</w:t>
            </w:r>
          </w:p>
        </w:tc>
        <w:tc>
          <w:tcPr>
            <w:tcW w:w="12463" w:type="dxa"/>
            <w:vAlign w:val="center"/>
          </w:tcPr>
          <w:p>
            <w:pPr>
              <w:pStyle w:val="7"/>
              <w:spacing w:before="36" w:line="232" w:lineRule="auto"/>
              <w:ind w:left="33" w:right="63"/>
              <w:jc w:val="both"/>
              <w:rPr>
                <w:sz w:val="18"/>
              </w:rPr>
            </w:pPr>
            <w:r>
              <w:rPr>
                <w:sz w:val="18"/>
              </w:rPr>
              <w:t>本学年度发表学术论文，SCI论文:6分，非会议EI论文4分，其他中文核心期刊和英文期刊3分，一般期刊论文2分，独立作者加全分，两位作者按比例7:3，三位作者按比例6:3:1，四位作者按比例5:3:1:1；五位作者按比例4.5:3:1:1:0.5；第六作者及以后按总分*0.05计算，（分数认定以正式发表论文目录及正文</w:t>
            </w:r>
          </w:p>
          <w:p>
            <w:pPr>
              <w:pStyle w:val="7"/>
              <w:spacing w:line="213" w:lineRule="exact"/>
              <w:ind w:left="33"/>
              <w:jc w:val="both"/>
              <w:rPr>
                <w:sz w:val="18"/>
              </w:rPr>
            </w:pPr>
            <w:r>
              <w:rPr>
                <w:sz w:val="18"/>
              </w:rPr>
              <w:t>复印件或出版社已确定接收但未正式发表的文章清样截图为准）。</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2" w:hRule="atLeast"/>
        </w:trPr>
        <w:tc>
          <w:tcPr>
            <w:tcW w:w="921" w:type="dxa"/>
            <w:vMerge w:val="continue"/>
            <w:tcBorders>
              <w:top w:val="nil"/>
            </w:tcBorders>
          </w:tcPr>
          <w:p>
            <w:pPr>
              <w:rPr>
                <w:sz w:val="2"/>
                <w:szCs w:val="2"/>
              </w:rPr>
            </w:pPr>
          </w:p>
        </w:tc>
        <w:tc>
          <w:tcPr>
            <w:tcW w:w="472" w:type="dxa"/>
            <w:vAlign w:val="center"/>
          </w:tcPr>
          <w:p>
            <w:pPr>
              <w:pStyle w:val="7"/>
              <w:spacing w:before="8"/>
              <w:jc w:val="both"/>
              <w:rPr>
                <w:rFonts w:ascii="Times New Roman"/>
                <w:sz w:val="17"/>
              </w:rPr>
            </w:pPr>
          </w:p>
          <w:p>
            <w:pPr>
              <w:pStyle w:val="7"/>
              <w:spacing w:before="1"/>
              <w:ind w:left="122" w:right="110"/>
              <w:jc w:val="both"/>
              <w:rPr>
                <w:rFonts w:hint="default" w:eastAsia="宋体"/>
                <w:sz w:val="18"/>
                <w:lang w:val="en-US" w:eastAsia="zh-CN"/>
              </w:rPr>
            </w:pPr>
            <w:r>
              <w:rPr>
                <w:rFonts w:hint="eastAsia"/>
                <w:sz w:val="18"/>
                <w:lang w:val="en-US" w:eastAsia="zh-CN"/>
              </w:rPr>
              <w:t>28</w:t>
            </w:r>
          </w:p>
        </w:tc>
        <w:tc>
          <w:tcPr>
            <w:tcW w:w="12463" w:type="dxa"/>
            <w:vAlign w:val="center"/>
          </w:tcPr>
          <w:p>
            <w:pPr>
              <w:pStyle w:val="7"/>
              <w:spacing w:line="208" w:lineRule="exact"/>
              <w:ind w:left="33"/>
              <w:jc w:val="both"/>
              <w:rPr>
                <w:sz w:val="18"/>
              </w:rPr>
            </w:pPr>
            <w:r>
              <w:rPr>
                <w:sz w:val="18"/>
              </w:rPr>
              <w:t>本学年度发表文学作品、新闻通讯稿件、文艺作品等，国家级刊物每篇加2分；省部级刊物每篇加1分；校级刊物（四川轻化工大学校报和学校主页）每篇加</w:t>
            </w:r>
          </w:p>
          <w:p>
            <w:pPr>
              <w:pStyle w:val="7"/>
              <w:spacing w:line="224" w:lineRule="exact"/>
              <w:ind w:left="33"/>
              <w:jc w:val="both"/>
              <w:rPr>
                <w:sz w:val="18"/>
              </w:rPr>
            </w:pPr>
            <w:r>
              <w:rPr>
                <w:sz w:val="18"/>
              </w:rPr>
              <w:t>0.2分，学院新闻部成员在校级级刊物中发稿5篇内不加分）。（第30条同一作品或稿件在不同级别刊物或新闻平台上发表按最高级别加分，不累加；需提交</w:t>
            </w:r>
          </w:p>
          <w:p>
            <w:pPr>
              <w:pStyle w:val="7"/>
              <w:spacing w:line="159" w:lineRule="exact"/>
              <w:ind w:left="33"/>
              <w:jc w:val="both"/>
              <w:rPr>
                <w:sz w:val="18"/>
              </w:rPr>
            </w:pPr>
            <w:r>
              <w:rPr>
                <w:sz w:val="18"/>
              </w:rPr>
              <w:t>刊物复印件或网页打印件）</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trPr>
        <w:tc>
          <w:tcPr>
            <w:tcW w:w="921" w:type="dxa"/>
            <w:vMerge w:val="continue"/>
            <w:tcBorders>
              <w:top w:val="nil"/>
            </w:tcBorders>
          </w:tcPr>
          <w:p>
            <w:pPr>
              <w:rPr>
                <w:sz w:val="2"/>
                <w:szCs w:val="2"/>
              </w:rPr>
            </w:pPr>
          </w:p>
        </w:tc>
        <w:tc>
          <w:tcPr>
            <w:tcW w:w="472" w:type="dxa"/>
            <w:vAlign w:val="center"/>
          </w:tcPr>
          <w:p>
            <w:pPr>
              <w:pStyle w:val="7"/>
              <w:spacing w:before="6"/>
              <w:jc w:val="both"/>
              <w:rPr>
                <w:rFonts w:ascii="Times New Roman"/>
                <w:sz w:val="14"/>
              </w:rPr>
            </w:pPr>
          </w:p>
          <w:p>
            <w:pPr>
              <w:pStyle w:val="7"/>
              <w:ind w:left="122" w:right="110"/>
              <w:jc w:val="both"/>
              <w:rPr>
                <w:rFonts w:hint="default" w:eastAsia="宋体"/>
                <w:sz w:val="18"/>
                <w:lang w:val="en-US" w:eastAsia="zh-CN"/>
              </w:rPr>
            </w:pPr>
            <w:r>
              <w:rPr>
                <w:rFonts w:hint="eastAsia"/>
                <w:sz w:val="18"/>
                <w:lang w:val="en-US" w:eastAsia="zh-CN"/>
              </w:rPr>
              <w:t>29</w:t>
            </w:r>
          </w:p>
        </w:tc>
        <w:tc>
          <w:tcPr>
            <w:tcW w:w="12463" w:type="dxa"/>
            <w:vAlign w:val="center"/>
          </w:tcPr>
          <w:p>
            <w:pPr>
              <w:pStyle w:val="7"/>
              <w:spacing w:before="60" w:line="232" w:lineRule="auto"/>
              <w:ind w:left="33" w:right="429"/>
              <w:jc w:val="both"/>
              <w:rPr>
                <w:sz w:val="18"/>
              </w:rPr>
            </w:pPr>
            <w:r>
              <w:rPr>
                <w:sz w:val="18"/>
              </w:rPr>
              <w:t>本学年度参加暑期社会实践并有合格的社会实践报告和图文音像资料，学校（学院）重点团队成员加0.5分，个人开展社会实践加0.2分（累计不超过0.6 分）；获得国家级表彰再加3分、省部级表彰再加2分，校市级表彰再加1分。(同时获得不同级别表彰按最高级别加分，不累加)。</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trPr>
        <w:tc>
          <w:tcPr>
            <w:tcW w:w="921" w:type="dxa"/>
            <w:vMerge w:val="continue"/>
            <w:tcBorders>
              <w:top w:val="nil"/>
            </w:tcBorders>
          </w:tcPr>
          <w:p>
            <w:pPr>
              <w:rPr>
                <w:sz w:val="2"/>
                <w:szCs w:val="2"/>
              </w:rPr>
            </w:pPr>
          </w:p>
        </w:tc>
        <w:tc>
          <w:tcPr>
            <w:tcW w:w="472" w:type="dxa"/>
            <w:vAlign w:val="center"/>
          </w:tcPr>
          <w:p>
            <w:pPr>
              <w:pStyle w:val="7"/>
              <w:spacing w:before="136"/>
              <w:ind w:left="122" w:right="110"/>
              <w:jc w:val="both"/>
              <w:rPr>
                <w:rFonts w:hint="eastAsia" w:eastAsia="宋体"/>
                <w:sz w:val="18"/>
                <w:lang w:eastAsia="zh-CN"/>
              </w:rPr>
            </w:pPr>
            <w:r>
              <w:rPr>
                <w:sz w:val="18"/>
              </w:rPr>
              <w:t>3</w:t>
            </w:r>
            <w:r>
              <w:rPr>
                <w:rFonts w:hint="eastAsia"/>
                <w:sz w:val="18"/>
                <w:lang w:val="en-US" w:eastAsia="zh-CN"/>
              </w:rPr>
              <w:t>0</w:t>
            </w:r>
          </w:p>
        </w:tc>
        <w:tc>
          <w:tcPr>
            <w:tcW w:w="12463" w:type="dxa"/>
            <w:vAlign w:val="center"/>
          </w:tcPr>
          <w:p>
            <w:pPr>
              <w:pStyle w:val="7"/>
              <w:spacing w:before="24" w:line="224" w:lineRule="exact"/>
              <w:ind w:left="33" w:right="156"/>
              <w:jc w:val="both"/>
              <w:rPr>
                <w:sz w:val="18"/>
              </w:rPr>
            </w:pPr>
            <w:r>
              <w:rPr>
                <w:sz w:val="18"/>
              </w:rPr>
              <w:t>本学年度获得专利：发明专利实质审查通过后加2分，授权后再加3分，独立发明加全分，两位发明人按比例7:3，三位发明人按比例6:3:1，四位发明人按比例5:3:1:1；五位发明人按比例4.5:3:1:1:0.5；第六发明人及以后按总分*0.05计算（通过实质审查需提供审查结论复印件或截图）</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1" w:hRule="atLeast"/>
        </w:trPr>
        <w:tc>
          <w:tcPr>
            <w:tcW w:w="921" w:type="dxa"/>
            <w:vMerge w:val="continue"/>
            <w:tcBorders>
              <w:top w:val="nil"/>
            </w:tcBorders>
          </w:tcPr>
          <w:p>
            <w:pPr>
              <w:rPr>
                <w:sz w:val="2"/>
                <w:szCs w:val="2"/>
              </w:rPr>
            </w:pPr>
          </w:p>
        </w:tc>
        <w:tc>
          <w:tcPr>
            <w:tcW w:w="472" w:type="dxa"/>
            <w:vAlign w:val="center"/>
          </w:tcPr>
          <w:p>
            <w:pPr>
              <w:pStyle w:val="7"/>
              <w:spacing w:before="9"/>
              <w:jc w:val="both"/>
              <w:rPr>
                <w:rFonts w:ascii="Times New Roman"/>
                <w:sz w:val="19"/>
              </w:rPr>
            </w:pPr>
          </w:p>
          <w:p>
            <w:pPr>
              <w:pStyle w:val="7"/>
              <w:ind w:left="122" w:right="110"/>
              <w:jc w:val="both"/>
              <w:rPr>
                <w:rFonts w:hint="eastAsia" w:eastAsia="宋体"/>
                <w:sz w:val="18"/>
                <w:lang w:eastAsia="zh-CN"/>
              </w:rPr>
            </w:pPr>
            <w:r>
              <w:rPr>
                <w:sz w:val="18"/>
              </w:rPr>
              <w:t>3</w:t>
            </w:r>
            <w:r>
              <w:rPr>
                <w:rFonts w:hint="eastAsia"/>
                <w:sz w:val="18"/>
                <w:lang w:val="en-US" w:eastAsia="zh-CN"/>
              </w:rPr>
              <w:t>1</w:t>
            </w:r>
          </w:p>
        </w:tc>
        <w:tc>
          <w:tcPr>
            <w:tcW w:w="12463" w:type="dxa"/>
            <w:vAlign w:val="center"/>
          </w:tcPr>
          <w:p>
            <w:pPr>
              <w:pStyle w:val="7"/>
              <w:spacing w:before="2" w:line="227" w:lineRule="exact"/>
              <w:ind w:left="33"/>
              <w:jc w:val="both"/>
              <w:rPr>
                <w:sz w:val="18"/>
              </w:rPr>
            </w:pPr>
            <w:r>
              <w:rPr>
                <w:sz w:val="18"/>
              </w:rPr>
              <w:t>外语、计算机、普通话等过级：①外语：全国英语四级（CET-4）425分以上加2分，520分以上加3分；全国英语六级（CET-6）425以上加3分，520加4分（四</w:t>
            </w:r>
          </w:p>
          <w:p>
            <w:pPr>
              <w:pStyle w:val="7"/>
              <w:spacing w:line="225" w:lineRule="exact"/>
              <w:ind w:left="33"/>
              <w:jc w:val="both"/>
              <w:rPr>
                <w:sz w:val="18"/>
              </w:rPr>
            </w:pPr>
            <w:r>
              <w:rPr>
                <w:sz w:val="18"/>
              </w:rPr>
              <w:t>、六级按高项分值加，不累加）GRE、托福、雅思加5分；其他外语语种过级参照英语执行；②计算机：全国计算机等级考试（NCRE）通过二级加1分，通过三</w:t>
            </w:r>
          </w:p>
          <w:p>
            <w:pPr>
              <w:pStyle w:val="7"/>
              <w:spacing w:line="184" w:lineRule="exact"/>
              <w:ind w:left="33"/>
              <w:jc w:val="both"/>
              <w:rPr>
                <w:sz w:val="18"/>
              </w:rPr>
            </w:pPr>
            <w:r>
              <w:rPr>
                <w:sz w:val="18"/>
              </w:rPr>
              <w:t>级加2分，通过四级加3分（计算机过级按高项分值加，不累加）；③普通话二级甲等以上加0.5分。</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trPr>
        <w:tc>
          <w:tcPr>
            <w:tcW w:w="921" w:type="dxa"/>
            <w:vMerge w:val="continue"/>
            <w:tcBorders>
              <w:top w:val="nil"/>
            </w:tcBorders>
          </w:tcPr>
          <w:p>
            <w:pPr>
              <w:rPr>
                <w:sz w:val="2"/>
                <w:szCs w:val="2"/>
              </w:rPr>
            </w:pPr>
          </w:p>
        </w:tc>
        <w:tc>
          <w:tcPr>
            <w:tcW w:w="472" w:type="dxa"/>
            <w:vAlign w:val="center"/>
          </w:tcPr>
          <w:p>
            <w:pPr>
              <w:pStyle w:val="7"/>
              <w:spacing w:before="6"/>
              <w:jc w:val="both"/>
              <w:rPr>
                <w:rFonts w:ascii="Times New Roman"/>
                <w:sz w:val="18"/>
              </w:rPr>
            </w:pPr>
          </w:p>
          <w:p>
            <w:pPr>
              <w:pStyle w:val="7"/>
              <w:ind w:left="122" w:right="110"/>
              <w:jc w:val="both"/>
              <w:rPr>
                <w:rFonts w:hint="eastAsia" w:eastAsia="宋体"/>
                <w:sz w:val="18"/>
                <w:lang w:eastAsia="zh-CN"/>
              </w:rPr>
            </w:pPr>
            <w:r>
              <w:rPr>
                <w:sz w:val="18"/>
              </w:rPr>
              <w:t>3</w:t>
            </w:r>
            <w:r>
              <w:rPr>
                <w:rFonts w:hint="eastAsia"/>
                <w:sz w:val="18"/>
                <w:lang w:val="en-US" w:eastAsia="zh-CN"/>
              </w:rPr>
              <w:t>2</w:t>
            </w:r>
          </w:p>
        </w:tc>
        <w:tc>
          <w:tcPr>
            <w:tcW w:w="12463" w:type="dxa"/>
            <w:vAlign w:val="center"/>
          </w:tcPr>
          <w:p>
            <w:pPr>
              <w:pStyle w:val="7"/>
              <w:spacing w:line="232" w:lineRule="auto"/>
              <w:ind w:left="33" w:right="74"/>
              <w:jc w:val="both"/>
              <w:rPr>
                <w:sz w:val="18"/>
              </w:rPr>
            </w:pPr>
            <w:r>
              <w:rPr>
                <w:sz w:val="18"/>
              </w:rPr>
              <w:t>取得证书：</w:t>
            </w:r>
            <w:r>
              <w:rPr>
                <w:color w:val="FF0000"/>
                <w:sz w:val="18"/>
              </w:rPr>
              <w:t>①获得四川省大学生综合素质A级证书加</w:t>
            </w:r>
            <w:r>
              <w:rPr>
                <w:rFonts w:hint="eastAsia"/>
                <w:color w:val="FF0000"/>
                <w:sz w:val="18"/>
                <w:lang w:val="en-US" w:eastAsia="zh-CN"/>
              </w:rPr>
              <w:t>4</w:t>
            </w:r>
            <w:r>
              <w:rPr>
                <w:color w:val="FF0000"/>
                <w:sz w:val="18"/>
              </w:rPr>
              <w:t>分</w:t>
            </w:r>
            <w:r>
              <w:rPr>
                <w:sz w:val="18"/>
              </w:rPr>
              <w:t>；②获得国家劳动社会保障部等部门颁发中级及以上技能测试证书加1分/项；③获得教师资格证书加0.5分（通过教师资格证笔试、面试和普通话水平符合要求的同学视为取得证书）；④其他由国家或省级正规部门颁发的职业资格证件（书）可到学院学工办</w:t>
            </w:r>
          </w:p>
          <w:p>
            <w:pPr>
              <w:pStyle w:val="7"/>
              <w:spacing w:line="167" w:lineRule="exact"/>
              <w:ind w:left="33"/>
              <w:jc w:val="both"/>
              <w:rPr>
                <w:sz w:val="18"/>
              </w:rPr>
            </w:pPr>
            <w:r>
              <w:rPr>
                <w:sz w:val="18"/>
              </w:rPr>
              <w:t>认定，加0.2-1分。</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921" w:type="dxa"/>
            <w:vMerge w:val="continue"/>
            <w:tcBorders>
              <w:top w:val="nil"/>
            </w:tcBorders>
          </w:tcPr>
          <w:p>
            <w:pPr>
              <w:rPr>
                <w:sz w:val="2"/>
                <w:szCs w:val="2"/>
              </w:rPr>
            </w:pPr>
          </w:p>
        </w:tc>
        <w:tc>
          <w:tcPr>
            <w:tcW w:w="472" w:type="dxa"/>
            <w:vAlign w:val="center"/>
          </w:tcPr>
          <w:p>
            <w:pPr>
              <w:pStyle w:val="7"/>
              <w:spacing w:before="23" w:line="207" w:lineRule="exact"/>
              <w:ind w:left="122" w:right="110"/>
              <w:jc w:val="both"/>
              <w:rPr>
                <w:rFonts w:hint="eastAsia" w:eastAsia="宋体"/>
                <w:sz w:val="18"/>
                <w:lang w:eastAsia="zh-CN"/>
              </w:rPr>
            </w:pPr>
            <w:r>
              <w:rPr>
                <w:sz w:val="18"/>
              </w:rPr>
              <w:t>3</w:t>
            </w:r>
            <w:r>
              <w:rPr>
                <w:rFonts w:hint="eastAsia"/>
                <w:sz w:val="18"/>
                <w:lang w:val="en-US" w:eastAsia="zh-CN"/>
              </w:rPr>
              <w:t>3</w:t>
            </w:r>
          </w:p>
        </w:tc>
        <w:tc>
          <w:tcPr>
            <w:tcW w:w="12463" w:type="dxa"/>
            <w:vAlign w:val="center"/>
          </w:tcPr>
          <w:p>
            <w:pPr>
              <w:pStyle w:val="7"/>
              <w:spacing w:before="23" w:line="207" w:lineRule="exact"/>
              <w:ind w:left="33"/>
              <w:jc w:val="both"/>
              <w:rPr>
                <w:sz w:val="18"/>
              </w:rPr>
            </w:pPr>
            <w:r>
              <w:rPr>
                <w:sz w:val="18"/>
              </w:rPr>
              <w:t>在其它方面获奖者(除本附件所列项目外，未经学校备案或组织参赛，需提供证明材料) ，可向学工办申请认定加分。</w:t>
            </w:r>
          </w:p>
        </w:tc>
        <w:tc>
          <w:tcPr>
            <w:tcW w:w="967" w:type="dxa"/>
          </w:tcPr>
          <w:p>
            <w:pPr>
              <w:pStyle w:val="7"/>
              <w:rPr>
                <w:rFonts w:ascii="Times New Roman"/>
                <w:sz w:val="18"/>
              </w:rPr>
            </w:pPr>
          </w:p>
        </w:tc>
        <w:tc>
          <w:tcPr>
            <w:tcW w:w="1035"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3856" w:type="dxa"/>
            <w:gridSpan w:val="3"/>
            <w:vAlign w:val="center"/>
          </w:tcPr>
          <w:p>
            <w:pPr>
              <w:pStyle w:val="7"/>
              <w:tabs>
                <w:tab w:val="left" w:pos="921"/>
                <w:tab w:val="left" w:pos="1473"/>
                <w:tab w:val="left" w:pos="2025"/>
              </w:tabs>
              <w:spacing w:line="231" w:lineRule="exact"/>
              <w:ind w:left="369"/>
              <w:jc w:val="both"/>
              <w:rPr>
                <w:sz w:val="22"/>
              </w:rPr>
            </w:pPr>
            <w:r>
              <w:rPr>
                <w:sz w:val="22"/>
              </w:rPr>
              <w:t>测评总分：</w:t>
            </w:r>
          </w:p>
        </w:tc>
        <w:tc>
          <w:tcPr>
            <w:tcW w:w="967" w:type="dxa"/>
          </w:tcPr>
          <w:p>
            <w:pPr>
              <w:pStyle w:val="7"/>
              <w:rPr>
                <w:rFonts w:ascii="Times New Roman"/>
                <w:sz w:val="18"/>
              </w:rPr>
            </w:pPr>
          </w:p>
        </w:tc>
        <w:tc>
          <w:tcPr>
            <w:tcW w:w="1035" w:type="dxa"/>
          </w:tcPr>
          <w:p>
            <w:pPr>
              <w:pStyle w:val="7"/>
              <w:rPr>
                <w:rFonts w:ascii="Times New Roman"/>
                <w:sz w:val="18"/>
              </w:rPr>
            </w:pPr>
          </w:p>
        </w:tc>
      </w:tr>
    </w:tbl>
    <w:p>
      <w:pPr>
        <w:pStyle w:val="2"/>
        <w:spacing w:before="33"/>
        <w:ind w:left="1556"/>
      </w:pPr>
      <w:r>
        <w:t>说明：除33、34项以外的加分项，提供的证明材料均需在上一年的9月1日到本年的8月31日之间，以证书、奖状或网上公布结果的时间为准。</w:t>
      </w:r>
    </w:p>
    <w:sectPr>
      <w:pgSz w:w="16840" w:h="11910" w:orient="landscape"/>
      <w:pgMar w:top="1040" w:right="500" w:bottom="280" w:left="220" w:header="408"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2372360</wp:posOffset>
              </wp:positionH>
              <wp:positionV relativeFrom="page">
                <wp:posOffset>246380</wp:posOffset>
              </wp:positionV>
              <wp:extent cx="5778500" cy="2540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00" cy="254000"/>
                      </a:xfrm>
                      <a:prstGeom prst="rect">
                        <a:avLst/>
                      </a:prstGeom>
                      <a:noFill/>
                      <a:ln>
                        <a:noFill/>
                      </a:ln>
                    </wps:spPr>
                    <wps:txbx>
                      <w:txbxContent>
                        <w:p>
                          <w:pPr>
                            <w:spacing w:before="0" w:line="400" w:lineRule="exact"/>
                            <w:ind w:left="20" w:right="0" w:firstLine="0"/>
                            <w:jc w:val="left"/>
                            <w:rPr>
                              <w:rFonts w:hint="eastAsia" w:ascii="微软雅黑" w:eastAsia="微软雅黑"/>
                              <w:b/>
                              <w:sz w:val="36"/>
                            </w:rPr>
                          </w:pPr>
                          <w:r>
                            <w:rPr>
                              <w:rFonts w:hint="eastAsia" w:ascii="微软雅黑" w:eastAsia="微软雅黑"/>
                              <w:b/>
                              <w:sz w:val="36"/>
                            </w:rPr>
                            <w:t>四川轻化工大学材料科学与工程学院学生综合素质测评表</w:t>
                          </w:r>
                        </w:p>
                      </w:txbxContent>
                    </wps:txbx>
                    <wps:bodyPr lIns="0" tIns="0" rIns="0" bIns="0" upright="1"/>
                  </wps:wsp>
                </a:graphicData>
              </a:graphic>
            </wp:anchor>
          </w:drawing>
        </mc:Choice>
        <mc:Fallback>
          <w:pict>
            <v:shape id="_x0000_s1026" o:spid="_x0000_s1026" o:spt="202" type="#_x0000_t202" style="position:absolute;left:0pt;margin-left:186.8pt;margin-top:19.4pt;height:20pt;width:455pt;mso-position-horizontal-relative:page;mso-position-vertical-relative:page;z-index:-251657216;mso-width-relative:page;mso-height-relative:page;" filled="f" stroked="f" coordsize="21600,21600" o:gfxdata="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V1+fdcAAAAKAQAADwAAAAAAAAABACAAAAAiAAAAZHJzL2Rvd25yZXYueG1sUEsBAhQA&#10;FAAAAAgAh07iQDgA/Hu6AQAAcgMAAA4AAAAAAAAAAQAgAAAAJgEAAGRycy9lMm9Eb2MueG1sUEsF&#10;BgAAAAAGAAYAWQEAAFIFAAAAAA==&#10;">
              <v:fill on="f" focussize="0,0"/>
              <v:stroke on="f"/>
              <v:imagedata o:title=""/>
              <o:lock v:ext="edit" aspectratio="f"/>
              <v:textbox inset="0mm,0mm,0mm,0mm">
                <w:txbxContent>
                  <w:p>
                    <w:pPr>
                      <w:spacing w:before="0" w:line="400" w:lineRule="exact"/>
                      <w:ind w:left="20" w:right="0" w:firstLine="0"/>
                      <w:jc w:val="left"/>
                      <w:rPr>
                        <w:rFonts w:hint="eastAsia" w:ascii="微软雅黑" w:eastAsia="微软雅黑"/>
                        <w:b/>
                        <w:sz w:val="36"/>
                      </w:rPr>
                    </w:pPr>
                    <w:r>
                      <w:rPr>
                        <w:rFonts w:hint="eastAsia" w:ascii="微软雅黑" w:eastAsia="微软雅黑"/>
                        <w:b/>
                        <w:sz w:val="36"/>
                      </w:rPr>
                      <w:t>四川轻化工大学材料科学与工程学院学生综合素质测评表</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733425</wp:posOffset>
              </wp:positionH>
              <wp:positionV relativeFrom="page">
                <wp:posOffset>511810</wp:posOffset>
              </wp:positionV>
              <wp:extent cx="2599055" cy="1809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99055" cy="180975"/>
                      </a:xfrm>
                      <a:prstGeom prst="rect">
                        <a:avLst/>
                      </a:prstGeom>
                      <a:noFill/>
                      <a:ln>
                        <a:noFill/>
                      </a:ln>
                    </wps:spPr>
                    <wps:txbx>
                      <w:txbxContent>
                        <w:p>
                          <w:pPr>
                            <w:tabs>
                              <w:tab w:val="left" w:pos="2163"/>
                              <w:tab w:val="left" w:pos="3851"/>
                            </w:tabs>
                            <w:spacing w:before="0" w:line="285" w:lineRule="exact"/>
                            <w:ind w:left="20" w:right="0" w:firstLine="0"/>
                            <w:jc w:val="left"/>
                            <w:rPr>
                              <w:rFonts w:hint="eastAsia" w:ascii="微软雅黑" w:eastAsia="微软雅黑"/>
                              <w:b/>
                              <w:sz w:val="22"/>
                            </w:rPr>
                          </w:pPr>
                          <w:r>
                            <w:rPr>
                              <w:rFonts w:ascii="Times New Roman" w:eastAsia="Times New Roman"/>
                              <w:b/>
                              <w:w w:val="100"/>
                              <w:sz w:val="22"/>
                              <w:u w:val="single"/>
                            </w:rPr>
                            <w:t xml:space="preserve"> </w:t>
                          </w:r>
                          <w:r>
                            <w:rPr>
                              <w:rFonts w:ascii="Times New Roman" w:eastAsia="Times New Roman"/>
                              <w:b/>
                              <w:sz w:val="22"/>
                              <w:u w:val="single"/>
                            </w:rPr>
                            <w:tab/>
                          </w:r>
                          <w:r>
                            <w:rPr>
                              <w:rFonts w:hint="eastAsia" w:ascii="微软雅黑" w:eastAsia="微软雅黑"/>
                              <w:b/>
                              <w:sz w:val="22"/>
                            </w:rPr>
                            <w:t>专业</w:t>
                          </w:r>
                          <w:r>
                            <w:rPr>
                              <w:rFonts w:hint="eastAsia" w:ascii="微软雅黑" w:eastAsia="微软雅黑"/>
                              <w:b/>
                              <w:sz w:val="22"/>
                              <w:u w:val="single"/>
                            </w:rPr>
                            <w:t xml:space="preserve"> </w:t>
                          </w:r>
                          <w:r>
                            <w:rPr>
                              <w:rFonts w:hint="eastAsia" w:ascii="微软雅黑" w:eastAsia="微软雅黑"/>
                              <w:b/>
                              <w:sz w:val="22"/>
                              <w:u w:val="single"/>
                            </w:rPr>
                            <w:tab/>
                          </w:r>
                          <w:r>
                            <w:rPr>
                              <w:rFonts w:hint="eastAsia" w:ascii="微软雅黑" w:eastAsia="微软雅黑"/>
                              <w:b/>
                              <w:sz w:val="22"/>
                            </w:rPr>
                            <w:t>班</w:t>
                          </w:r>
                        </w:p>
                      </w:txbxContent>
                    </wps:txbx>
                    <wps:bodyPr lIns="0" tIns="0" rIns="0" bIns="0" upright="1"/>
                  </wps:wsp>
                </a:graphicData>
              </a:graphic>
            </wp:anchor>
          </w:drawing>
        </mc:Choice>
        <mc:Fallback>
          <w:pict>
            <v:shape id="_x0000_s1026" o:spid="_x0000_s1026" o:spt="202" type="#_x0000_t202" style="position:absolute;left:0pt;margin-left:57.75pt;margin-top:40.3pt;height:14.25pt;width:204.65pt;mso-position-horizontal-relative:page;mso-position-vertical-relative:page;z-index:-251656192;mso-width-relative:page;mso-height-relative:page;" filled="f" stroked="f" coordsize="21600,21600" o:gfxdata="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M8QY2AAAAAoBAAAPAAAAAAAAAAEAIAAAACIAAABkcnMvZG93bnJldi54bWxQSwEC&#10;FAAUAAAACACHTuJA6+cxtbsBAAByAwAADgAAAAAAAAABACAAAAAnAQAAZHJzL2Uyb0RvYy54bWxQ&#10;SwUGAAAAAAYABgBZAQAAVAUAAAAA&#10;">
              <v:fill on="f" focussize="0,0"/>
              <v:stroke on="f"/>
              <v:imagedata o:title=""/>
              <o:lock v:ext="edit" aspectratio="f"/>
              <v:textbox inset="0mm,0mm,0mm,0mm">
                <w:txbxContent>
                  <w:p>
                    <w:pPr>
                      <w:tabs>
                        <w:tab w:val="left" w:pos="2163"/>
                        <w:tab w:val="left" w:pos="3851"/>
                      </w:tabs>
                      <w:spacing w:before="0" w:line="285" w:lineRule="exact"/>
                      <w:ind w:left="20" w:right="0" w:firstLine="0"/>
                      <w:jc w:val="left"/>
                      <w:rPr>
                        <w:rFonts w:hint="eastAsia" w:ascii="微软雅黑" w:eastAsia="微软雅黑"/>
                        <w:b/>
                        <w:sz w:val="22"/>
                      </w:rPr>
                    </w:pPr>
                    <w:r>
                      <w:rPr>
                        <w:rFonts w:ascii="Times New Roman" w:eastAsia="Times New Roman"/>
                        <w:b/>
                        <w:w w:val="100"/>
                        <w:sz w:val="22"/>
                        <w:u w:val="single"/>
                      </w:rPr>
                      <w:t xml:space="preserve"> </w:t>
                    </w:r>
                    <w:r>
                      <w:rPr>
                        <w:rFonts w:ascii="Times New Roman" w:eastAsia="Times New Roman"/>
                        <w:b/>
                        <w:sz w:val="22"/>
                        <w:u w:val="single"/>
                      </w:rPr>
                      <w:tab/>
                    </w:r>
                    <w:r>
                      <w:rPr>
                        <w:rFonts w:hint="eastAsia" w:ascii="微软雅黑" w:eastAsia="微软雅黑"/>
                        <w:b/>
                        <w:sz w:val="22"/>
                      </w:rPr>
                      <w:t>专业</w:t>
                    </w:r>
                    <w:r>
                      <w:rPr>
                        <w:rFonts w:hint="eastAsia" w:ascii="微软雅黑" w:eastAsia="微软雅黑"/>
                        <w:b/>
                        <w:sz w:val="22"/>
                        <w:u w:val="single"/>
                      </w:rPr>
                      <w:t xml:space="preserve"> </w:t>
                    </w:r>
                    <w:r>
                      <w:rPr>
                        <w:rFonts w:hint="eastAsia" w:ascii="微软雅黑" w:eastAsia="微软雅黑"/>
                        <w:b/>
                        <w:sz w:val="22"/>
                        <w:u w:val="single"/>
                      </w:rPr>
                      <w:tab/>
                    </w:r>
                    <w:r>
                      <w:rPr>
                        <w:rFonts w:hint="eastAsia" w:ascii="微软雅黑" w:eastAsia="微软雅黑"/>
                        <w:b/>
                        <w:sz w:val="22"/>
                      </w:rPr>
                      <w:t>班</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3738245</wp:posOffset>
              </wp:positionH>
              <wp:positionV relativeFrom="page">
                <wp:posOffset>516255</wp:posOffset>
              </wp:positionV>
              <wp:extent cx="734060" cy="1657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4060" cy="165735"/>
                      </a:xfrm>
                      <a:prstGeom prst="rect">
                        <a:avLst/>
                      </a:prstGeom>
                      <a:noFill/>
                      <a:ln>
                        <a:noFill/>
                      </a:ln>
                    </wps:spPr>
                    <wps:txbx>
                      <w:txbxContent>
                        <w:p>
                          <w:pPr>
                            <w:spacing w:before="0" w:line="261" w:lineRule="exact"/>
                            <w:ind w:left="20" w:right="0" w:firstLine="0"/>
                            <w:jc w:val="left"/>
                            <w:rPr>
                              <w:rFonts w:hint="eastAsia" w:ascii="微软雅黑" w:eastAsia="微软雅黑"/>
                              <w:b/>
                              <w:sz w:val="22"/>
                            </w:rPr>
                          </w:pPr>
                          <w:r>
                            <w:rPr>
                              <w:rFonts w:hint="eastAsia" w:ascii="微软雅黑" w:eastAsia="微软雅黑"/>
                              <w:b/>
                              <w:sz w:val="22"/>
                            </w:rPr>
                            <w:t>学生姓名：</w:t>
                          </w:r>
                        </w:p>
                      </w:txbxContent>
                    </wps:txbx>
                    <wps:bodyPr lIns="0" tIns="0" rIns="0" bIns="0" upright="1"/>
                  </wps:wsp>
                </a:graphicData>
              </a:graphic>
            </wp:anchor>
          </w:drawing>
        </mc:Choice>
        <mc:Fallback>
          <w:pict>
            <v:shape id="_x0000_s1026" o:spid="_x0000_s1026" o:spt="202" type="#_x0000_t202" style="position:absolute;left:0pt;margin-left:294.35pt;margin-top:40.65pt;height:13.05pt;width:57.8pt;mso-position-horizontal-relative:page;mso-position-vertical-relative:page;z-index:-251655168;mso-width-relative:page;mso-height-relative:page;" filled="f" stroked="f" coordsize="21600,21600" o:gfxdata="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kKxvb2QAAAAoBAAAPAAAAAAAAAAEAIAAAACIAAABkcnMvZG93bnJldi54bWxQSwEC&#10;FAAUAAAACACHTuJAUQJ9EroBAABxAwAADgAAAAAAAAABACAAAAAoAQAAZHJzL2Uyb0RvYy54bWxQ&#10;SwUGAAAAAAYABgBZAQAAVAUAAAAA&#10;">
              <v:fill on="f" focussize="0,0"/>
              <v:stroke on="f"/>
              <v:imagedata o:title=""/>
              <o:lock v:ext="edit" aspectratio="f"/>
              <v:textbox inset="0mm,0mm,0mm,0mm">
                <w:txbxContent>
                  <w:p>
                    <w:pPr>
                      <w:spacing w:before="0" w:line="261" w:lineRule="exact"/>
                      <w:ind w:left="20" w:right="0" w:firstLine="0"/>
                      <w:jc w:val="left"/>
                      <w:rPr>
                        <w:rFonts w:hint="eastAsia" w:ascii="微软雅黑" w:eastAsia="微软雅黑"/>
                        <w:b/>
                        <w:sz w:val="22"/>
                      </w:rPr>
                    </w:pPr>
                    <w:r>
                      <w:rPr>
                        <w:rFonts w:hint="eastAsia" w:ascii="微软雅黑" w:eastAsia="微软雅黑"/>
                        <w:b/>
                        <w:sz w:val="22"/>
                      </w:rPr>
                      <w:t>学生姓名：</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5593080</wp:posOffset>
              </wp:positionH>
              <wp:positionV relativeFrom="page">
                <wp:posOffset>516255</wp:posOffset>
              </wp:positionV>
              <wp:extent cx="450850" cy="1657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0850" cy="165735"/>
                      </a:xfrm>
                      <a:prstGeom prst="rect">
                        <a:avLst/>
                      </a:prstGeom>
                      <a:noFill/>
                      <a:ln>
                        <a:noFill/>
                      </a:ln>
                    </wps:spPr>
                    <wps:txbx>
                      <w:txbxContent>
                        <w:p>
                          <w:pPr>
                            <w:spacing w:before="0" w:line="261" w:lineRule="exact"/>
                            <w:ind w:left="20" w:right="0" w:firstLine="0"/>
                            <w:jc w:val="left"/>
                            <w:rPr>
                              <w:rFonts w:hint="eastAsia" w:ascii="微软雅黑" w:eastAsia="微软雅黑"/>
                              <w:b/>
                              <w:sz w:val="22"/>
                            </w:rPr>
                          </w:pPr>
                          <w:r>
                            <w:rPr>
                              <w:rFonts w:hint="eastAsia" w:ascii="微软雅黑" w:eastAsia="微软雅黑"/>
                              <w:b/>
                              <w:sz w:val="22"/>
                            </w:rPr>
                            <w:t>学号：</w:t>
                          </w:r>
                        </w:p>
                      </w:txbxContent>
                    </wps:txbx>
                    <wps:bodyPr lIns="0" tIns="0" rIns="0" bIns="0" upright="1"/>
                  </wps:wsp>
                </a:graphicData>
              </a:graphic>
            </wp:anchor>
          </w:drawing>
        </mc:Choice>
        <mc:Fallback>
          <w:pict>
            <v:shape id="_x0000_s1026" o:spid="_x0000_s1026" o:spt="202" type="#_x0000_t202" style="position:absolute;left:0pt;margin-left:440.4pt;margin-top:40.65pt;height:13.05pt;width:35.5pt;mso-position-horizontal-relative:page;mso-position-vertical-relative:page;z-index:-251654144;mso-width-relative:page;mso-height-relative:page;" filled="f" stroked="f" coordsize="21600,21600" o:gfxdata="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k9PCdcAAAAKAQAADwAAAAAAAAABACAAAAAiAAAAZHJzL2Rvd25yZXYueG1sUEsBAhQA&#10;FAAAAAgAh07iQFuxK2y6AQAAcQMAAA4AAAAAAAAAAQAgAAAAJgEAAGRycy9lMm9Eb2MueG1sUEsF&#10;BgAAAAAGAAYAWQEAAFIFAAAAAA==&#10;">
              <v:fill on="f" focussize="0,0"/>
              <v:stroke on="f"/>
              <v:imagedata o:title=""/>
              <o:lock v:ext="edit" aspectratio="f"/>
              <v:textbox inset="0mm,0mm,0mm,0mm">
                <w:txbxContent>
                  <w:p>
                    <w:pPr>
                      <w:spacing w:before="0" w:line="261" w:lineRule="exact"/>
                      <w:ind w:left="20" w:right="0" w:firstLine="0"/>
                      <w:jc w:val="left"/>
                      <w:rPr>
                        <w:rFonts w:hint="eastAsia" w:ascii="微软雅黑" w:eastAsia="微软雅黑"/>
                        <w:b/>
                        <w:sz w:val="22"/>
                      </w:rPr>
                    </w:pPr>
                    <w:r>
                      <w:rPr>
                        <w:rFonts w:hint="eastAsia" w:ascii="微软雅黑" w:eastAsia="微软雅黑"/>
                        <w:b/>
                        <w:sz w:val="22"/>
                      </w:rPr>
                      <w:t>学号：</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7450455</wp:posOffset>
              </wp:positionH>
              <wp:positionV relativeFrom="page">
                <wp:posOffset>516255</wp:posOffset>
              </wp:positionV>
              <wp:extent cx="450850" cy="1657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50850" cy="165735"/>
                      </a:xfrm>
                      <a:prstGeom prst="rect">
                        <a:avLst/>
                      </a:prstGeom>
                      <a:noFill/>
                      <a:ln>
                        <a:noFill/>
                      </a:ln>
                    </wps:spPr>
                    <wps:txbx>
                      <w:txbxContent>
                        <w:p>
                          <w:pPr>
                            <w:spacing w:before="0" w:line="261" w:lineRule="exact"/>
                            <w:ind w:left="20" w:right="0" w:firstLine="0"/>
                            <w:jc w:val="left"/>
                            <w:rPr>
                              <w:rFonts w:hint="eastAsia" w:ascii="微软雅黑" w:eastAsia="微软雅黑"/>
                              <w:b/>
                              <w:sz w:val="22"/>
                            </w:rPr>
                          </w:pPr>
                          <w:r>
                            <w:rPr>
                              <w:rFonts w:hint="eastAsia" w:ascii="微软雅黑" w:eastAsia="微软雅黑"/>
                              <w:b/>
                              <w:sz w:val="22"/>
                            </w:rPr>
                            <w:t>学年：</w:t>
                          </w:r>
                        </w:p>
                      </w:txbxContent>
                    </wps:txbx>
                    <wps:bodyPr lIns="0" tIns="0" rIns="0" bIns="0" upright="1"/>
                  </wps:wsp>
                </a:graphicData>
              </a:graphic>
            </wp:anchor>
          </w:drawing>
        </mc:Choice>
        <mc:Fallback>
          <w:pict>
            <v:shape id="_x0000_s1026" o:spid="_x0000_s1026" o:spt="202" type="#_x0000_t202" style="position:absolute;left:0pt;margin-left:586.65pt;margin-top:40.65pt;height:13.05pt;width:35.5pt;mso-position-horizontal-relative:page;mso-position-vertical-relative:page;z-index:-251653120;mso-width-relative:page;mso-height-relative:page;" filled="f" stroked="f" coordsize="21600,21600" o:gfxdata="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nTQbk2QAAAAwBAAAPAAAAAAAAAAEAIAAAACIAAABkcnMvZG93bnJldi54bWxQSwEC&#10;FAAUAAAACACHTuJArkACz7oBAABxAwAADgAAAAAAAAABACAAAAAoAQAAZHJzL2Uyb0RvYy54bWxQ&#10;SwUGAAAAAAYABgBZAQAAVAUAAAAA&#10;">
              <v:fill on="f" focussize="0,0"/>
              <v:stroke on="f"/>
              <v:imagedata o:title=""/>
              <o:lock v:ext="edit" aspectratio="f"/>
              <v:textbox inset="0mm,0mm,0mm,0mm">
                <w:txbxContent>
                  <w:p>
                    <w:pPr>
                      <w:spacing w:before="0" w:line="261" w:lineRule="exact"/>
                      <w:ind w:left="20" w:right="0" w:firstLine="0"/>
                      <w:jc w:val="left"/>
                      <w:rPr>
                        <w:rFonts w:hint="eastAsia" w:ascii="微软雅黑" w:eastAsia="微软雅黑"/>
                        <w:b/>
                        <w:sz w:val="22"/>
                      </w:rPr>
                    </w:pPr>
                    <w:r>
                      <w:rPr>
                        <w:rFonts w:hint="eastAsia" w:ascii="微软雅黑" w:eastAsia="微软雅黑"/>
                        <w:b/>
                        <w:sz w:val="22"/>
                      </w:rPr>
                      <w:t>学年：</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MzUzMWJmOTg5MGVkMmFhYjc4NjgyODU2N2U4NTQifQ=="/>
  </w:docVars>
  <w:rsids>
    <w:rsidRoot w:val="00000000"/>
    <w:rsid w:val="401F4760"/>
    <w:rsid w:val="4A8E198C"/>
    <w:rsid w:val="70C940DE"/>
    <w:rsid w:val="745574FA"/>
    <w:rsid w:val="78E26444"/>
    <w:rsid w:val="79BA662B"/>
    <w:rsid w:val="7F7C49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8"/>
      <w:szCs w:val="1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4635</Words>
  <Characters>4877</Characters>
  <TotalTime>1</TotalTime>
  <ScaleCrop>false</ScaleCrop>
  <LinksUpToDate>false</LinksUpToDate>
  <CharactersWithSpaces>4893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2022-09-02T01:59:00Z</dcterms:created>
  <dc:creator>余玉</dc:creator>
  <cp:lastModifiedBy>outman1395281238</cp:lastModifiedBy>
  <dcterms:modified xsi:type="dcterms:W3CDTF">2023-08-28T09:13:32Z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Excel® 2013</vt:lpwstr>
  </property>
  <property fmtid="{D5CDD505-2E9C-101B-9397-08002B2CF9AE}" pid="4" name="LastSaved">
    <vt:filetime>2022-09-02T00:00:00Z</vt:filetime>
  </property>
  <property fmtid="{D5CDD505-2E9C-101B-9397-08002B2CF9AE}" pid="5" name="KSOProductBuildVer">
    <vt:lpwstr>2052-12.1.0.15120</vt:lpwstr>
  </property>
  <property fmtid="{D5CDD505-2E9C-101B-9397-08002B2CF9AE}" pid="6" name="ICV">
    <vt:lpwstr>87B1B6AA6F68437FB85378164AF5CD7D_13</vt:lpwstr>
  </property>
</Properties>
</file>